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5D" w:rsidRPr="00FD782A" w:rsidRDefault="0035455D" w:rsidP="00FD782A">
      <w:pPr>
        <w:pStyle w:val="NoSpacing"/>
        <w:jc w:val="center"/>
        <w:rPr>
          <w:rFonts w:ascii="Times New Roman" w:eastAsia="Times New Roman" w:hAnsi="Times New Roman" w:cs="Times New Roman"/>
          <w:b/>
          <w:sz w:val="28"/>
        </w:rPr>
      </w:pPr>
      <w:r w:rsidRPr="00FD782A">
        <w:rPr>
          <w:rFonts w:ascii="Times New Roman" w:eastAsia="Times New Roman" w:hAnsi="Times New Roman" w:cs="Times New Roman"/>
          <w:b/>
          <w:sz w:val="28"/>
        </w:rPr>
        <w:t>EFFECT OF INJECTOR OPENING PRESSURE ON THE PERFORMANCE AND EMISSION CHARACTERISTICS OF DI DIESEL ENGINE RUNNING ON HONNE OIL AND DIESEL FUEL BLEND</w:t>
      </w:r>
    </w:p>
    <w:p w:rsidR="00FD782A" w:rsidRPr="00FD782A" w:rsidRDefault="00FD782A" w:rsidP="0035455D">
      <w:pPr>
        <w:jc w:val="center"/>
        <w:rPr>
          <w:rFonts w:ascii="Times New Roman" w:eastAsia="Times New Roman" w:hAnsi="Times New Roman" w:cs="Times New Roman"/>
          <w:b/>
          <w:sz w:val="24"/>
          <w:szCs w:val="24"/>
        </w:rPr>
      </w:pPr>
    </w:p>
    <w:p w:rsidR="00D73275" w:rsidRDefault="00FD782A" w:rsidP="00FD782A">
      <w:pPr>
        <w:widowControl w:val="0"/>
        <w:tabs>
          <w:tab w:val="left" w:pos="1530"/>
        </w:tabs>
        <w:autoSpaceDE w:val="0"/>
        <w:autoSpaceDN w:val="0"/>
        <w:adjustRightInd w:val="0"/>
        <w:spacing w:after="0" w:line="240" w:lineRule="auto"/>
        <w:jc w:val="center"/>
        <w:rPr>
          <w:rFonts w:ascii="Times New Roman" w:hAnsi="Times New Roman" w:cs="Times New Roman"/>
          <w:b/>
          <w:bCs/>
          <w:sz w:val="24"/>
          <w:szCs w:val="24"/>
          <w:vertAlign w:val="superscript"/>
        </w:rPr>
      </w:pPr>
      <w:r w:rsidRPr="00FD782A">
        <w:rPr>
          <w:rFonts w:ascii="Times New Roman" w:hAnsi="Times New Roman" w:cs="Times New Roman"/>
          <w:b/>
          <w:bCs/>
          <w:sz w:val="24"/>
          <w:szCs w:val="24"/>
        </w:rPr>
        <w:t>S.Venkateswarlu</w:t>
      </w:r>
      <w:r w:rsidRPr="00FD782A">
        <w:rPr>
          <w:rFonts w:ascii="Times New Roman" w:hAnsi="Times New Roman" w:cs="Times New Roman"/>
          <w:b/>
          <w:bCs/>
          <w:sz w:val="24"/>
          <w:szCs w:val="24"/>
          <w:vertAlign w:val="superscript"/>
        </w:rPr>
        <w:t>1*</w:t>
      </w:r>
      <w:r w:rsidRPr="00FD782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D782A">
        <w:rPr>
          <w:rFonts w:ascii="Times New Roman" w:hAnsi="Times New Roman" w:cs="Times New Roman"/>
          <w:b/>
          <w:bCs/>
          <w:sz w:val="24"/>
          <w:szCs w:val="24"/>
        </w:rPr>
        <w:t>Dr.G.Prasanthi</w:t>
      </w:r>
      <w:r w:rsidRPr="00FD782A">
        <w:rPr>
          <w:rFonts w:ascii="Times New Roman" w:hAnsi="Times New Roman" w:cs="Times New Roman"/>
          <w:b/>
          <w:bCs/>
          <w:sz w:val="24"/>
          <w:szCs w:val="24"/>
          <w:vertAlign w:val="superscript"/>
        </w:rPr>
        <w:t>2</w:t>
      </w:r>
      <w:r w:rsidRPr="00FD782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D782A">
        <w:rPr>
          <w:rFonts w:ascii="Times New Roman" w:hAnsi="Times New Roman" w:cs="Times New Roman"/>
          <w:b/>
          <w:bCs/>
          <w:sz w:val="24"/>
          <w:szCs w:val="24"/>
        </w:rPr>
        <w:t>Dr.M.Yohan</w:t>
      </w:r>
      <w:r w:rsidRPr="00FD782A">
        <w:rPr>
          <w:rFonts w:ascii="Times New Roman" w:hAnsi="Times New Roman" w:cs="Times New Roman"/>
          <w:b/>
          <w:bCs/>
          <w:sz w:val="24"/>
          <w:szCs w:val="24"/>
          <w:vertAlign w:val="superscript"/>
        </w:rPr>
        <w:t>3</w:t>
      </w:r>
    </w:p>
    <w:p w:rsidR="00FD782A" w:rsidRPr="00FD782A" w:rsidRDefault="00FD782A" w:rsidP="00FD782A">
      <w:pPr>
        <w:widowControl w:val="0"/>
        <w:tabs>
          <w:tab w:val="left" w:pos="1530"/>
        </w:tabs>
        <w:autoSpaceDE w:val="0"/>
        <w:autoSpaceDN w:val="0"/>
        <w:adjustRightInd w:val="0"/>
        <w:spacing w:after="0" w:line="240" w:lineRule="auto"/>
        <w:jc w:val="center"/>
        <w:rPr>
          <w:rFonts w:ascii="Times New Roman" w:hAnsi="Times New Roman" w:cs="Times New Roman"/>
          <w:sz w:val="24"/>
          <w:szCs w:val="24"/>
        </w:rPr>
      </w:pPr>
    </w:p>
    <w:p w:rsidR="002422B6" w:rsidRDefault="00527A8B" w:rsidP="00FD782A">
      <w:pPr>
        <w:widowControl w:val="0"/>
        <w:autoSpaceDE w:val="0"/>
        <w:autoSpaceDN w:val="0"/>
        <w:adjustRightInd w:val="0"/>
        <w:spacing w:after="0" w:line="219" w:lineRule="auto"/>
        <w:ind w:left="720"/>
        <w:jc w:val="center"/>
        <w:rPr>
          <w:rFonts w:ascii="Times New Roman" w:hAnsi="Times New Roman" w:cs="Times New Roman"/>
          <w:sz w:val="24"/>
          <w:szCs w:val="24"/>
        </w:rPr>
      </w:pPr>
      <w:r w:rsidRPr="00FD782A">
        <w:rPr>
          <w:rFonts w:ascii="Times New Roman" w:hAnsi="Times New Roman" w:cs="Times New Roman"/>
          <w:sz w:val="24"/>
          <w:szCs w:val="24"/>
          <w:vertAlign w:val="superscript"/>
        </w:rPr>
        <w:t>1</w:t>
      </w:r>
      <w:r w:rsidR="00676D2E" w:rsidRPr="00FD782A">
        <w:rPr>
          <w:rFonts w:ascii="Times New Roman" w:hAnsi="Times New Roman" w:cs="Times New Roman"/>
          <w:sz w:val="24"/>
          <w:szCs w:val="24"/>
          <w:vertAlign w:val="superscript"/>
        </w:rPr>
        <w:t xml:space="preserve"> </w:t>
      </w:r>
      <w:r w:rsidR="00A60E46" w:rsidRPr="00FD782A">
        <w:rPr>
          <w:rFonts w:ascii="Times New Roman" w:hAnsi="Times New Roman" w:cs="Times New Roman"/>
          <w:sz w:val="24"/>
          <w:szCs w:val="24"/>
        </w:rPr>
        <w:t>Lecturer</w:t>
      </w:r>
      <w:r w:rsidR="00676D2E" w:rsidRPr="00FD782A">
        <w:rPr>
          <w:rFonts w:ascii="Times New Roman" w:hAnsi="Times New Roman" w:cs="Times New Roman"/>
          <w:sz w:val="24"/>
          <w:szCs w:val="24"/>
        </w:rPr>
        <w:t xml:space="preserve">, </w:t>
      </w:r>
      <w:r w:rsidR="00D73275" w:rsidRPr="00FD782A">
        <w:rPr>
          <w:rFonts w:ascii="Times New Roman" w:hAnsi="Times New Roman" w:cs="Times New Roman"/>
          <w:sz w:val="24"/>
          <w:szCs w:val="24"/>
        </w:rPr>
        <w:t xml:space="preserve">Mechanical </w:t>
      </w:r>
      <w:r w:rsidR="002422B6" w:rsidRPr="00FD782A">
        <w:rPr>
          <w:rFonts w:ascii="Times New Roman" w:hAnsi="Times New Roman" w:cs="Times New Roman"/>
          <w:sz w:val="24"/>
          <w:szCs w:val="24"/>
        </w:rPr>
        <w:t>Engineering Department, JNTUA College of Engineering,</w:t>
      </w:r>
      <w:r w:rsidR="00FD782A">
        <w:rPr>
          <w:rFonts w:ascii="Times New Roman" w:hAnsi="Times New Roman" w:cs="Times New Roman"/>
          <w:sz w:val="24"/>
          <w:szCs w:val="24"/>
        </w:rPr>
        <w:t xml:space="preserve"> </w:t>
      </w:r>
      <w:r w:rsidR="002422B6" w:rsidRPr="00FD782A">
        <w:rPr>
          <w:rFonts w:ascii="Times New Roman" w:hAnsi="Times New Roman" w:cs="Times New Roman"/>
          <w:sz w:val="24"/>
          <w:szCs w:val="24"/>
        </w:rPr>
        <w:t>Ananthapu</w:t>
      </w:r>
      <w:r w:rsidR="00A9625A" w:rsidRPr="00FD782A">
        <w:rPr>
          <w:rFonts w:ascii="Times New Roman" w:hAnsi="Times New Roman" w:cs="Times New Roman"/>
          <w:sz w:val="24"/>
          <w:szCs w:val="24"/>
        </w:rPr>
        <w:t>ramu, Andhra Pradesh, India</w:t>
      </w:r>
      <w:r w:rsidR="00FD782A">
        <w:rPr>
          <w:rFonts w:ascii="Times New Roman" w:hAnsi="Times New Roman" w:cs="Times New Roman"/>
          <w:sz w:val="24"/>
          <w:szCs w:val="24"/>
        </w:rPr>
        <w:t>.</w:t>
      </w:r>
    </w:p>
    <w:p w:rsidR="00FD782A" w:rsidRPr="00FD782A" w:rsidRDefault="00FD782A" w:rsidP="00AA22BF">
      <w:pPr>
        <w:widowControl w:val="0"/>
        <w:autoSpaceDE w:val="0"/>
        <w:autoSpaceDN w:val="0"/>
        <w:adjustRightInd w:val="0"/>
        <w:spacing w:after="0" w:line="219" w:lineRule="auto"/>
        <w:ind w:left="720"/>
        <w:rPr>
          <w:rFonts w:ascii="Times New Roman" w:hAnsi="Times New Roman" w:cs="Times New Roman"/>
          <w:sz w:val="24"/>
          <w:szCs w:val="24"/>
        </w:rPr>
      </w:pPr>
    </w:p>
    <w:p w:rsidR="00FD782A" w:rsidRDefault="00820171" w:rsidP="00FD782A">
      <w:pPr>
        <w:widowControl w:val="0"/>
        <w:autoSpaceDE w:val="0"/>
        <w:autoSpaceDN w:val="0"/>
        <w:adjustRightInd w:val="0"/>
        <w:spacing w:after="0" w:line="219" w:lineRule="auto"/>
        <w:ind w:left="720"/>
        <w:jc w:val="center"/>
        <w:rPr>
          <w:rFonts w:ascii="Times New Roman" w:hAnsi="Times New Roman" w:cs="Times New Roman"/>
          <w:sz w:val="24"/>
          <w:szCs w:val="24"/>
        </w:rPr>
      </w:pPr>
      <w:r w:rsidRPr="00FD782A">
        <w:rPr>
          <w:rFonts w:ascii="Times New Roman" w:hAnsi="Times New Roman" w:cs="Times New Roman"/>
          <w:sz w:val="24"/>
          <w:szCs w:val="24"/>
          <w:vertAlign w:val="superscript"/>
        </w:rPr>
        <w:t>2</w:t>
      </w:r>
      <w:r w:rsidRPr="00FD782A">
        <w:rPr>
          <w:rFonts w:ascii="Times New Roman" w:hAnsi="Times New Roman" w:cs="Times New Roman"/>
          <w:sz w:val="24"/>
          <w:szCs w:val="24"/>
        </w:rPr>
        <w:t>Professor,Mechanical Engineering Department, JNTUA College of Engineering, Ananthapuramu, Andhra Pradesh, India</w:t>
      </w:r>
      <w:r w:rsidR="00FD782A">
        <w:rPr>
          <w:rFonts w:ascii="Times New Roman" w:hAnsi="Times New Roman" w:cs="Times New Roman"/>
          <w:sz w:val="24"/>
          <w:szCs w:val="24"/>
        </w:rPr>
        <w:t>.</w:t>
      </w:r>
    </w:p>
    <w:p w:rsidR="00FD782A" w:rsidRPr="00FD782A" w:rsidRDefault="00FD782A" w:rsidP="00FD782A">
      <w:pPr>
        <w:widowControl w:val="0"/>
        <w:autoSpaceDE w:val="0"/>
        <w:autoSpaceDN w:val="0"/>
        <w:adjustRightInd w:val="0"/>
        <w:spacing w:after="0" w:line="219" w:lineRule="auto"/>
        <w:ind w:left="720"/>
        <w:jc w:val="center"/>
        <w:rPr>
          <w:rFonts w:ascii="Times New Roman" w:hAnsi="Times New Roman" w:cs="Times New Roman"/>
          <w:sz w:val="24"/>
          <w:szCs w:val="24"/>
        </w:rPr>
      </w:pPr>
    </w:p>
    <w:p w:rsidR="00A60E46" w:rsidRPr="00FD782A" w:rsidRDefault="00A60E46" w:rsidP="00FD782A">
      <w:pPr>
        <w:widowControl w:val="0"/>
        <w:autoSpaceDE w:val="0"/>
        <w:autoSpaceDN w:val="0"/>
        <w:adjustRightInd w:val="0"/>
        <w:spacing w:after="0" w:line="219" w:lineRule="auto"/>
        <w:ind w:left="720"/>
        <w:jc w:val="center"/>
        <w:rPr>
          <w:rFonts w:ascii="Times New Roman" w:hAnsi="Times New Roman" w:cs="Times New Roman"/>
          <w:sz w:val="24"/>
          <w:szCs w:val="24"/>
        </w:rPr>
      </w:pPr>
      <w:r w:rsidRPr="00FD782A">
        <w:rPr>
          <w:rFonts w:ascii="Times New Roman" w:hAnsi="Times New Roman" w:cs="Times New Roman"/>
          <w:sz w:val="24"/>
          <w:szCs w:val="24"/>
          <w:vertAlign w:val="superscript"/>
        </w:rPr>
        <w:t>3</w:t>
      </w:r>
      <w:r w:rsidRPr="00FD782A">
        <w:rPr>
          <w:rFonts w:ascii="Times New Roman" w:hAnsi="Times New Roman" w:cs="Times New Roman"/>
          <w:sz w:val="24"/>
          <w:szCs w:val="24"/>
        </w:rPr>
        <w:t>Professor,Mechanical Engineering Department, JNTUA College of Engineering, Ananthapuramu, Andhra P</w:t>
      </w:r>
      <w:r w:rsidR="00FD782A">
        <w:rPr>
          <w:rFonts w:ascii="Times New Roman" w:hAnsi="Times New Roman" w:cs="Times New Roman"/>
          <w:sz w:val="24"/>
          <w:szCs w:val="24"/>
        </w:rPr>
        <w:t>radesh, India.</w:t>
      </w:r>
    </w:p>
    <w:p w:rsidR="000233FF" w:rsidRPr="00FD782A" w:rsidRDefault="000233FF" w:rsidP="000233FF">
      <w:pPr>
        <w:widowControl w:val="0"/>
        <w:tabs>
          <w:tab w:val="left" w:pos="8964"/>
        </w:tabs>
        <w:autoSpaceDE w:val="0"/>
        <w:autoSpaceDN w:val="0"/>
        <w:adjustRightInd w:val="0"/>
        <w:spacing w:after="0" w:line="219" w:lineRule="auto"/>
        <w:rPr>
          <w:rFonts w:ascii="Times New Roman" w:hAnsi="Times New Roman" w:cs="Times New Roman"/>
          <w:sz w:val="24"/>
          <w:szCs w:val="24"/>
        </w:rPr>
      </w:pPr>
    </w:p>
    <w:p w:rsidR="000233FF" w:rsidRPr="00FD782A" w:rsidRDefault="000233FF" w:rsidP="000233FF">
      <w:pPr>
        <w:widowControl w:val="0"/>
        <w:tabs>
          <w:tab w:val="left" w:pos="8964"/>
        </w:tabs>
        <w:autoSpaceDE w:val="0"/>
        <w:autoSpaceDN w:val="0"/>
        <w:adjustRightInd w:val="0"/>
        <w:spacing w:after="0" w:line="219" w:lineRule="auto"/>
        <w:rPr>
          <w:rFonts w:ascii="Times New Roman" w:hAnsi="Times New Roman" w:cs="Times New Roman"/>
          <w:sz w:val="24"/>
          <w:szCs w:val="24"/>
        </w:rPr>
      </w:pPr>
      <w:r w:rsidRPr="00FD782A">
        <w:rPr>
          <w:rFonts w:ascii="Times New Roman" w:hAnsi="Times New Roman" w:cs="Times New Roman"/>
          <w:sz w:val="24"/>
          <w:szCs w:val="24"/>
        </w:rPr>
        <w:t xml:space="preserve">                                                                            </w:t>
      </w:r>
    </w:p>
    <w:p w:rsidR="00D73275" w:rsidRPr="00FD782A" w:rsidRDefault="00FD782A" w:rsidP="00FD782A">
      <w:pPr>
        <w:widowControl w:val="0"/>
        <w:tabs>
          <w:tab w:val="left" w:pos="8964"/>
        </w:tabs>
        <w:autoSpaceDE w:val="0"/>
        <w:autoSpaceDN w:val="0"/>
        <w:adjustRightInd w:val="0"/>
        <w:spacing w:after="0" w:line="219" w:lineRule="auto"/>
        <w:jc w:val="center"/>
        <w:rPr>
          <w:rFonts w:ascii="Times New Roman" w:hAnsi="Times New Roman" w:cs="Times New Roman"/>
          <w:iCs/>
          <w:sz w:val="24"/>
          <w:szCs w:val="24"/>
          <w:u w:val="single"/>
        </w:rPr>
      </w:pPr>
      <w:r w:rsidRPr="00FD782A">
        <w:rPr>
          <w:rFonts w:ascii="Times New Roman" w:hAnsi="Times New Roman" w:cs="Times New Roman"/>
          <w:b/>
          <w:bCs/>
          <w:iCs/>
          <w:sz w:val="24"/>
          <w:szCs w:val="24"/>
          <w:u w:val="single"/>
        </w:rPr>
        <w:t>ABSTRACT</w:t>
      </w:r>
    </w:p>
    <w:p w:rsidR="00FD782A" w:rsidRDefault="00E832E3" w:rsidP="006474C3">
      <w:pPr>
        <w:spacing w:line="360" w:lineRule="auto"/>
        <w:contextualSpacing/>
        <w:jc w:val="both"/>
        <w:rPr>
          <w:rFonts w:ascii="Times New Roman" w:eastAsia="Times New Roman" w:hAnsi="Times New Roman" w:cs="Times New Roman"/>
          <w:sz w:val="24"/>
          <w:szCs w:val="24"/>
        </w:rPr>
      </w:pPr>
      <w:r w:rsidRPr="00FD782A">
        <w:rPr>
          <w:rFonts w:ascii="Times New Roman" w:eastAsia="Times New Roman" w:hAnsi="Times New Roman" w:cs="Times New Roman"/>
          <w:sz w:val="24"/>
          <w:szCs w:val="24"/>
        </w:rPr>
        <w:t xml:space="preserve">           </w:t>
      </w:r>
    </w:p>
    <w:p w:rsidR="00E832E3" w:rsidRPr="00FD782A" w:rsidRDefault="00E832E3" w:rsidP="00FD782A">
      <w:pPr>
        <w:spacing w:line="360" w:lineRule="auto"/>
        <w:contextualSpacing/>
        <w:jc w:val="both"/>
        <w:rPr>
          <w:rFonts w:ascii="Times New Roman" w:eastAsia="Times New Roman" w:hAnsi="Times New Roman" w:cs="Times New Roman"/>
          <w:i/>
          <w:sz w:val="24"/>
          <w:szCs w:val="24"/>
        </w:rPr>
      </w:pPr>
      <w:r w:rsidRPr="00FD782A">
        <w:rPr>
          <w:rFonts w:ascii="Times New Roman" w:eastAsia="Times New Roman" w:hAnsi="Times New Roman" w:cs="Times New Roman"/>
          <w:i/>
          <w:sz w:val="24"/>
          <w:szCs w:val="24"/>
        </w:rPr>
        <w:t>Due to the increasing demand for fossil fuels and environmental threat, a number of renewable sources of energy have been studied worldwide. An attempt is made to assess the suitability of vegetable oil for diesel engine operation, without any modifications in its existing construction.</w:t>
      </w:r>
    </w:p>
    <w:p w:rsidR="0024452F" w:rsidRPr="00FD782A" w:rsidRDefault="00E832E3" w:rsidP="00FD782A">
      <w:pPr>
        <w:tabs>
          <w:tab w:val="left" w:pos="2229"/>
        </w:tabs>
        <w:spacing w:line="360" w:lineRule="auto"/>
        <w:contextualSpacing/>
        <w:jc w:val="both"/>
        <w:rPr>
          <w:rFonts w:ascii="Times New Roman" w:hAnsi="Times New Roman" w:cs="Times New Roman"/>
          <w:b/>
          <w:bCs/>
          <w:i/>
          <w:iCs/>
          <w:sz w:val="24"/>
          <w:szCs w:val="24"/>
        </w:rPr>
      </w:pPr>
      <w:r w:rsidRPr="00FD782A">
        <w:rPr>
          <w:rFonts w:ascii="Times New Roman" w:eastAsia="Times New Roman" w:hAnsi="Times New Roman" w:cs="Times New Roman"/>
          <w:i/>
          <w:sz w:val="24"/>
          <w:szCs w:val="24"/>
        </w:rPr>
        <w:t xml:space="preserve">  One of the important factors which influence the performance and emission of diesel engine is fuel injection pressure. In the present investigation </w:t>
      </w:r>
      <w:r w:rsidR="006474C3" w:rsidRPr="00FD782A">
        <w:rPr>
          <w:rFonts w:ascii="Times New Roman" w:eastAsia="Times New Roman" w:hAnsi="Times New Roman" w:cs="Times New Roman"/>
          <w:i/>
          <w:sz w:val="24"/>
          <w:szCs w:val="24"/>
        </w:rPr>
        <w:t xml:space="preserve">is carried out </w:t>
      </w:r>
      <w:r w:rsidRPr="00FD782A">
        <w:rPr>
          <w:rFonts w:ascii="Times New Roman" w:eastAsia="Times New Roman" w:hAnsi="Times New Roman" w:cs="Times New Roman"/>
          <w:i/>
          <w:sz w:val="24"/>
          <w:szCs w:val="24"/>
        </w:rPr>
        <w:t xml:space="preserve">in a constant speed, DI diesel engine with variable fuel injection pressure from 180bar to 220bar (In steps of </w:t>
      </w:r>
      <w:r w:rsidR="006474C3" w:rsidRPr="00FD782A">
        <w:rPr>
          <w:rFonts w:ascii="Times New Roman" w:eastAsia="Times New Roman" w:hAnsi="Times New Roman" w:cs="Times New Roman"/>
          <w:i/>
          <w:sz w:val="24"/>
          <w:szCs w:val="24"/>
        </w:rPr>
        <w:t xml:space="preserve">20 bar). </w:t>
      </w:r>
      <w:r w:rsidR="006E1389" w:rsidRPr="00FD782A">
        <w:rPr>
          <w:rFonts w:ascii="Times New Roman" w:eastAsia="Times New Roman" w:hAnsi="Times New Roman" w:cs="Times New Roman"/>
          <w:i/>
          <w:sz w:val="24"/>
          <w:szCs w:val="24"/>
        </w:rPr>
        <w:t>The main objective of this work</w:t>
      </w:r>
      <w:r w:rsidRPr="00FD782A">
        <w:rPr>
          <w:rFonts w:ascii="Times New Roman" w:eastAsia="Times New Roman" w:hAnsi="Times New Roman" w:cs="Times New Roman"/>
          <w:i/>
          <w:sz w:val="24"/>
          <w:szCs w:val="24"/>
        </w:rPr>
        <w:t xml:space="preserve"> is to investigate the effect of injection pressures on </w:t>
      </w:r>
      <w:r w:rsidRPr="00FD782A">
        <w:rPr>
          <w:rFonts w:ascii="Times New Roman" w:eastAsia="Times New Roman" w:hAnsi="Times New Roman" w:cs="Times New Roman"/>
          <w:i/>
          <w:iCs/>
          <w:sz w:val="24"/>
          <w:szCs w:val="24"/>
        </w:rPr>
        <w:t>a blend of 50% honne oil with 50% diesel fuel and</w:t>
      </w:r>
      <w:r w:rsidRPr="00FD782A">
        <w:rPr>
          <w:rFonts w:ascii="Times New Roman" w:eastAsia="Times New Roman" w:hAnsi="Times New Roman" w:cs="Times New Roman"/>
          <w:i/>
          <w:sz w:val="24"/>
          <w:szCs w:val="24"/>
        </w:rPr>
        <w:t xml:space="preserve"> compare with diesel on performance and emissions </w:t>
      </w:r>
      <w:r w:rsidR="006474C3" w:rsidRPr="00FD782A">
        <w:rPr>
          <w:rFonts w:ascii="Times New Roman" w:eastAsia="Times New Roman" w:hAnsi="Times New Roman" w:cs="Times New Roman"/>
          <w:i/>
          <w:sz w:val="24"/>
          <w:szCs w:val="24"/>
        </w:rPr>
        <w:t>characteristics of the engine. The performance tests are</w:t>
      </w:r>
      <w:r w:rsidRPr="00FD782A">
        <w:rPr>
          <w:rFonts w:ascii="Times New Roman" w:eastAsia="Times New Roman" w:hAnsi="Times New Roman" w:cs="Times New Roman"/>
          <w:i/>
          <w:sz w:val="24"/>
          <w:szCs w:val="24"/>
        </w:rPr>
        <w:t xml:space="preserve"> conducted at 1500 rpm with loading of 20,40,60,80, and 100 percent of maximum load. </w:t>
      </w:r>
      <w:r w:rsidR="00D73275" w:rsidRPr="00FD782A">
        <w:rPr>
          <w:rFonts w:ascii="Times New Roman" w:hAnsi="Times New Roman" w:cs="Times New Roman"/>
          <w:b/>
          <w:bCs/>
          <w:i/>
          <w:iCs/>
          <w:sz w:val="24"/>
          <w:szCs w:val="24"/>
        </w:rPr>
        <w:t xml:space="preserve"> </w:t>
      </w:r>
    </w:p>
    <w:p w:rsidR="005A362F" w:rsidRPr="00FD782A" w:rsidRDefault="005A362F" w:rsidP="006474C3">
      <w:pPr>
        <w:tabs>
          <w:tab w:val="left" w:pos="2229"/>
        </w:tabs>
        <w:spacing w:line="360" w:lineRule="auto"/>
        <w:contextualSpacing/>
        <w:jc w:val="both"/>
        <w:rPr>
          <w:rFonts w:ascii="Times New Roman" w:eastAsia="Times New Roman" w:hAnsi="Times New Roman" w:cs="Times New Roman"/>
          <w:sz w:val="24"/>
          <w:szCs w:val="24"/>
        </w:rPr>
      </w:pPr>
    </w:p>
    <w:p w:rsidR="00F97D02" w:rsidRPr="00FD782A" w:rsidRDefault="00D73275" w:rsidP="0024452F">
      <w:pPr>
        <w:spacing w:line="360" w:lineRule="auto"/>
        <w:jc w:val="both"/>
        <w:rPr>
          <w:rFonts w:ascii="Times New Roman" w:eastAsia="Times New Roman" w:hAnsi="Times New Roman" w:cs="Times New Roman"/>
          <w:sz w:val="24"/>
          <w:szCs w:val="24"/>
        </w:rPr>
      </w:pPr>
      <w:r w:rsidRPr="00FD782A">
        <w:rPr>
          <w:rFonts w:ascii="Times New Roman" w:hAnsi="Times New Roman" w:cs="Times New Roman"/>
          <w:b/>
          <w:bCs/>
          <w:i/>
          <w:iCs/>
          <w:sz w:val="24"/>
          <w:szCs w:val="24"/>
        </w:rPr>
        <w:t>Keywords:</w:t>
      </w:r>
      <w:r w:rsidRPr="00FD782A">
        <w:rPr>
          <w:rFonts w:ascii="Times New Roman" w:hAnsi="Times New Roman" w:cs="Times New Roman"/>
          <w:b/>
          <w:bCs/>
          <w:sz w:val="24"/>
          <w:szCs w:val="24"/>
        </w:rPr>
        <w:t xml:space="preserve"> D.I.Diesel Engine, </w:t>
      </w:r>
      <w:r w:rsidR="009823FF" w:rsidRPr="00FD782A">
        <w:rPr>
          <w:rFonts w:ascii="Times New Roman" w:hAnsi="Times New Roman" w:cs="Times New Roman"/>
          <w:b/>
          <w:bCs/>
          <w:sz w:val="24"/>
          <w:szCs w:val="24"/>
        </w:rPr>
        <w:t>Performance, Emissions</w:t>
      </w:r>
      <w:r w:rsidRPr="00FD782A">
        <w:rPr>
          <w:rFonts w:ascii="Times New Roman" w:hAnsi="Times New Roman" w:cs="Times New Roman"/>
          <w:b/>
          <w:bCs/>
          <w:sz w:val="24"/>
          <w:szCs w:val="24"/>
        </w:rPr>
        <w:t>.</w:t>
      </w:r>
    </w:p>
    <w:p w:rsidR="00D73275" w:rsidRPr="00FD782A" w:rsidRDefault="00D73275" w:rsidP="0024452F">
      <w:pPr>
        <w:spacing w:line="360" w:lineRule="auto"/>
        <w:jc w:val="both"/>
        <w:rPr>
          <w:rFonts w:ascii="Times New Roman" w:eastAsia="Times New Roman" w:hAnsi="Times New Roman" w:cs="Times New Roman"/>
          <w:sz w:val="24"/>
          <w:szCs w:val="24"/>
        </w:rPr>
        <w:sectPr w:rsidR="00D73275" w:rsidRPr="00FD782A" w:rsidSect="00FD782A">
          <w:headerReference w:type="default" r:id="rId8"/>
          <w:footerReference w:type="default" r:id="rId9"/>
          <w:type w:val="continuous"/>
          <w:pgSz w:w="12240" w:h="15840"/>
          <w:pgMar w:top="1440" w:right="1440" w:bottom="1440" w:left="1440" w:header="720" w:footer="720" w:gutter="0"/>
          <w:cols w:space="720"/>
          <w:docGrid w:linePitch="360"/>
        </w:sectPr>
      </w:pPr>
    </w:p>
    <w:p w:rsidR="00D73275" w:rsidRPr="00FD782A" w:rsidRDefault="00D73275" w:rsidP="002B3F43">
      <w:pPr>
        <w:widowControl w:val="0"/>
        <w:autoSpaceDE w:val="0"/>
        <w:autoSpaceDN w:val="0"/>
        <w:adjustRightInd w:val="0"/>
        <w:spacing w:after="0" w:line="240" w:lineRule="auto"/>
        <w:rPr>
          <w:rFonts w:ascii="Times New Roman" w:hAnsi="Times New Roman" w:cs="Times New Roman"/>
          <w:sz w:val="24"/>
          <w:szCs w:val="24"/>
        </w:rPr>
      </w:pPr>
      <w:r w:rsidRPr="00FD782A">
        <w:rPr>
          <w:rFonts w:ascii="Times New Roman" w:hAnsi="Times New Roman" w:cs="Times New Roman"/>
          <w:b/>
          <w:bCs/>
          <w:sz w:val="24"/>
          <w:szCs w:val="24"/>
        </w:rPr>
        <w:lastRenderedPageBreak/>
        <w:t>1. INTRODUCTION</w:t>
      </w:r>
    </w:p>
    <w:p w:rsidR="00CB3E0D" w:rsidRPr="00FD782A" w:rsidRDefault="00827721" w:rsidP="006474C3">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FD782A">
        <w:rPr>
          <w:rFonts w:ascii="Times New Roman" w:hAnsi="Times New Roman" w:cs="Times New Roman"/>
          <w:sz w:val="24"/>
          <w:szCs w:val="24"/>
        </w:rPr>
        <w:t xml:space="preserve">In the </w:t>
      </w:r>
      <w:r w:rsidR="00354565" w:rsidRPr="00FD782A">
        <w:rPr>
          <w:rFonts w:ascii="Times New Roman" w:hAnsi="Times New Roman" w:cs="Times New Roman"/>
          <w:sz w:val="24"/>
          <w:szCs w:val="24"/>
        </w:rPr>
        <w:t xml:space="preserve">present situation </w:t>
      </w:r>
      <w:r w:rsidR="00D82E5C" w:rsidRPr="00FD782A">
        <w:rPr>
          <w:rFonts w:ascii="Times New Roman" w:hAnsi="Times New Roman" w:cs="Times New Roman"/>
          <w:sz w:val="24"/>
          <w:szCs w:val="24"/>
        </w:rPr>
        <w:t>there is an absolute</w:t>
      </w:r>
      <w:r w:rsidR="00354565" w:rsidRPr="00FD782A">
        <w:rPr>
          <w:rFonts w:ascii="Times New Roman" w:hAnsi="Times New Roman" w:cs="Times New Roman"/>
          <w:sz w:val="24"/>
          <w:szCs w:val="24"/>
        </w:rPr>
        <w:t xml:space="preserve"> scarcity of fuel. Hence popularizing the slogans such as “Save Oil”, introducing new fuel saving vehicles, etc. It is necessary to introduce alternate fuel to replace the existing fossil fuels as it has been predicted by experts that the existing resources of the fossil fuels will be exhausted in another 50 years. As the situation is </w:t>
      </w:r>
      <w:r w:rsidR="00354565" w:rsidRPr="00FD782A">
        <w:rPr>
          <w:rFonts w:ascii="Times New Roman" w:hAnsi="Times New Roman" w:cs="Times New Roman"/>
          <w:sz w:val="24"/>
          <w:szCs w:val="24"/>
        </w:rPr>
        <w:lastRenderedPageBreak/>
        <w:t>deteriorating day-by-day especially in dev</w:t>
      </w:r>
      <w:r w:rsidR="00D82E5C" w:rsidRPr="00FD782A">
        <w:rPr>
          <w:rFonts w:ascii="Times New Roman" w:hAnsi="Times New Roman" w:cs="Times New Roman"/>
          <w:sz w:val="24"/>
          <w:szCs w:val="24"/>
        </w:rPr>
        <w:t>eloping countries like India, and</w:t>
      </w:r>
      <w:r w:rsidR="00354565" w:rsidRPr="00FD782A">
        <w:rPr>
          <w:rFonts w:ascii="Times New Roman" w:hAnsi="Times New Roman" w:cs="Times New Roman"/>
          <w:sz w:val="24"/>
          <w:szCs w:val="24"/>
        </w:rPr>
        <w:t xml:space="preserve"> have to think of introducing alternate fuels. Apart from the scarcity, the cost also is increased at regular intervals. Depending on this, country’s economy is also affected. Continuous search for the alternate fuels has lead researchers to several areas. They are alcohols, H</w:t>
      </w:r>
      <w:r w:rsidR="00354565" w:rsidRPr="00FD782A">
        <w:rPr>
          <w:rFonts w:ascii="Times New Roman" w:hAnsi="Times New Roman" w:cs="Times New Roman"/>
          <w:sz w:val="24"/>
          <w:szCs w:val="24"/>
          <w:vertAlign w:val="subscript"/>
        </w:rPr>
        <w:t>2</w:t>
      </w:r>
      <w:r w:rsidR="00354565" w:rsidRPr="00FD782A">
        <w:rPr>
          <w:rFonts w:ascii="Times New Roman" w:hAnsi="Times New Roman" w:cs="Times New Roman"/>
          <w:sz w:val="24"/>
          <w:szCs w:val="24"/>
        </w:rPr>
        <w:t>, LPG, CNG, Biogas, Vegetable oils, etc. Out of these, Vegetable oils are becoming popular worldwide because it is renewable and they can be produced easily as the technology for extraction is well known.</w:t>
      </w:r>
      <w:r w:rsidR="00FF2790" w:rsidRPr="00FD782A">
        <w:rPr>
          <w:rFonts w:ascii="Times New Roman" w:hAnsi="Times New Roman" w:cs="Times New Roman"/>
          <w:sz w:val="24"/>
          <w:szCs w:val="24"/>
        </w:rPr>
        <w:t xml:space="preserve"> </w:t>
      </w:r>
      <w:r w:rsidR="00AE6BDE" w:rsidRPr="00FD782A">
        <w:rPr>
          <w:rFonts w:ascii="Times New Roman" w:hAnsi="Times New Roman" w:cs="Times New Roman"/>
          <w:sz w:val="24"/>
          <w:szCs w:val="24"/>
        </w:rPr>
        <w:t xml:space="preserve">Alternate fuels which are extracted from </w:t>
      </w:r>
      <w:r w:rsidR="002B5D8C" w:rsidRPr="00FD782A">
        <w:rPr>
          <w:rFonts w:ascii="Times New Roman" w:hAnsi="Times New Roman" w:cs="Times New Roman"/>
          <w:sz w:val="24"/>
          <w:szCs w:val="24"/>
        </w:rPr>
        <w:t>Vegetable</w:t>
      </w:r>
      <w:r w:rsidR="00AE6BDE" w:rsidRPr="00FD782A">
        <w:rPr>
          <w:rFonts w:ascii="Times New Roman" w:hAnsi="Times New Roman" w:cs="Times New Roman"/>
          <w:sz w:val="24"/>
          <w:szCs w:val="24"/>
        </w:rPr>
        <w:t xml:space="preserve"> oils will positively reduce the usage of fossil fuels. There are various types of vegetable oils that can be used as alternate fuels. The different vegetable oils are: Jatropha oil, Cotton seed oil,</w:t>
      </w:r>
      <w:r w:rsidR="00214B07" w:rsidRPr="00FD782A">
        <w:rPr>
          <w:rFonts w:ascii="Times New Roman" w:hAnsi="Times New Roman" w:cs="Times New Roman"/>
          <w:sz w:val="24"/>
          <w:szCs w:val="24"/>
        </w:rPr>
        <w:t xml:space="preserve"> Pine oil,</w:t>
      </w:r>
      <w:r w:rsidR="00AE6BDE" w:rsidRPr="00FD782A">
        <w:rPr>
          <w:rFonts w:ascii="Times New Roman" w:hAnsi="Times New Roman" w:cs="Times New Roman"/>
          <w:sz w:val="24"/>
          <w:szCs w:val="24"/>
        </w:rPr>
        <w:t xml:space="preserve"> Rubber seed oil, Rape seed oil, Rice bran oil, </w:t>
      </w:r>
      <w:r w:rsidR="00AA2779" w:rsidRPr="00FD782A">
        <w:rPr>
          <w:rFonts w:ascii="Times New Roman" w:hAnsi="Times New Roman" w:cs="Times New Roman"/>
          <w:sz w:val="24"/>
          <w:szCs w:val="24"/>
        </w:rPr>
        <w:t xml:space="preserve"> </w:t>
      </w:r>
      <w:r w:rsidR="00AA2779" w:rsidRPr="00FD782A">
        <w:rPr>
          <w:rFonts w:ascii="Times New Roman" w:eastAsia="Times New Roman" w:hAnsi="Times New Roman" w:cs="Times New Roman"/>
          <w:sz w:val="24"/>
          <w:szCs w:val="24"/>
        </w:rPr>
        <w:t>Honne oil</w:t>
      </w:r>
      <w:r w:rsidR="00AA2779" w:rsidRPr="00FD782A">
        <w:rPr>
          <w:rFonts w:ascii="Times New Roman" w:hAnsi="Times New Roman" w:cs="Times New Roman"/>
          <w:sz w:val="24"/>
          <w:szCs w:val="24"/>
        </w:rPr>
        <w:t xml:space="preserve">, </w:t>
      </w:r>
      <w:r w:rsidR="00AE6BDE" w:rsidRPr="00FD782A">
        <w:rPr>
          <w:rFonts w:ascii="Times New Roman" w:hAnsi="Times New Roman" w:cs="Times New Roman"/>
          <w:sz w:val="24"/>
          <w:szCs w:val="24"/>
        </w:rPr>
        <w:t>Orange peel oil. Out of these diffe</w:t>
      </w:r>
      <w:r w:rsidR="00D95508" w:rsidRPr="00FD782A">
        <w:rPr>
          <w:rFonts w:ascii="Times New Roman" w:hAnsi="Times New Roman" w:cs="Times New Roman"/>
          <w:sz w:val="24"/>
          <w:szCs w:val="24"/>
        </w:rPr>
        <w:t xml:space="preserve">rent vegetable oils, </w:t>
      </w:r>
      <w:r w:rsidR="00D95508" w:rsidRPr="00FD782A">
        <w:rPr>
          <w:rFonts w:ascii="Times New Roman" w:eastAsia="Times New Roman" w:hAnsi="Times New Roman" w:cs="Times New Roman"/>
          <w:sz w:val="24"/>
          <w:szCs w:val="24"/>
        </w:rPr>
        <w:t>Honne oil</w:t>
      </w:r>
      <w:r w:rsidR="00AE6BDE" w:rsidRPr="00FD782A">
        <w:rPr>
          <w:rFonts w:ascii="Times New Roman" w:hAnsi="Times New Roman" w:cs="Times New Roman"/>
          <w:sz w:val="24"/>
          <w:szCs w:val="24"/>
        </w:rPr>
        <w:t xml:space="preserve"> is most important. Because the </w:t>
      </w:r>
      <w:r w:rsidR="00D95508" w:rsidRPr="00FD782A">
        <w:rPr>
          <w:rFonts w:ascii="Times New Roman" w:hAnsi="Times New Roman" w:cs="Times New Roman"/>
          <w:sz w:val="24"/>
          <w:szCs w:val="24"/>
        </w:rPr>
        <w:t xml:space="preserve">Calorific value of the </w:t>
      </w:r>
      <w:r w:rsidR="00D95508" w:rsidRPr="00FD782A">
        <w:rPr>
          <w:rFonts w:ascii="Times New Roman" w:eastAsia="Times New Roman" w:hAnsi="Times New Roman" w:cs="Times New Roman"/>
          <w:sz w:val="24"/>
          <w:szCs w:val="24"/>
        </w:rPr>
        <w:t>Honne oil</w:t>
      </w:r>
      <w:r w:rsidR="00AE6BDE" w:rsidRPr="00FD782A">
        <w:rPr>
          <w:rFonts w:ascii="Times New Roman" w:hAnsi="Times New Roman" w:cs="Times New Roman"/>
          <w:sz w:val="24"/>
          <w:szCs w:val="24"/>
        </w:rPr>
        <w:t xml:space="preserve"> is almost equal to the calorific value of the </w:t>
      </w:r>
      <w:r w:rsidR="004B354F" w:rsidRPr="00FD782A">
        <w:rPr>
          <w:rFonts w:ascii="Times New Roman" w:hAnsi="Times New Roman" w:cs="Times New Roman"/>
          <w:sz w:val="24"/>
          <w:szCs w:val="24"/>
        </w:rPr>
        <w:t>Diesel</w:t>
      </w:r>
      <w:r w:rsidR="003E0637" w:rsidRPr="00FD782A">
        <w:rPr>
          <w:rFonts w:ascii="Times New Roman" w:hAnsi="Times New Roman" w:cs="Times New Roman"/>
          <w:sz w:val="24"/>
          <w:szCs w:val="24"/>
        </w:rPr>
        <w:t xml:space="preserve">. As </w:t>
      </w:r>
      <w:r w:rsidR="003E0637" w:rsidRPr="00FD782A">
        <w:rPr>
          <w:rFonts w:ascii="Times New Roman" w:eastAsia="Times New Roman" w:hAnsi="Times New Roman" w:cs="Times New Roman"/>
          <w:sz w:val="24"/>
          <w:szCs w:val="24"/>
        </w:rPr>
        <w:t>Honne</w:t>
      </w:r>
      <w:r w:rsidR="00214B07" w:rsidRPr="00FD782A">
        <w:rPr>
          <w:rFonts w:ascii="Times New Roman" w:hAnsi="Times New Roman" w:cs="Times New Roman"/>
          <w:sz w:val="24"/>
          <w:szCs w:val="24"/>
        </w:rPr>
        <w:t xml:space="preserve"> trees </w:t>
      </w:r>
      <w:r w:rsidR="00AE6BDE" w:rsidRPr="00FD782A">
        <w:rPr>
          <w:rFonts w:ascii="Times New Roman" w:hAnsi="Times New Roman" w:cs="Times New Roman"/>
          <w:sz w:val="24"/>
          <w:szCs w:val="24"/>
        </w:rPr>
        <w:t xml:space="preserve">are available in </w:t>
      </w:r>
      <w:r w:rsidR="00175D98" w:rsidRPr="00FD782A">
        <w:rPr>
          <w:rFonts w:ascii="Times New Roman" w:hAnsi="Times New Roman" w:cs="Times New Roman"/>
          <w:sz w:val="24"/>
          <w:szCs w:val="24"/>
        </w:rPr>
        <w:t>abundance in India, one</w:t>
      </w:r>
      <w:r w:rsidR="00AE6BDE" w:rsidRPr="00FD782A">
        <w:rPr>
          <w:rFonts w:ascii="Times New Roman" w:hAnsi="Times New Roman" w:cs="Times New Roman"/>
          <w:sz w:val="24"/>
          <w:szCs w:val="24"/>
        </w:rPr>
        <w:t xml:space="preserve"> can </w:t>
      </w:r>
      <w:r w:rsidR="00214B07" w:rsidRPr="00FD782A">
        <w:rPr>
          <w:rFonts w:ascii="Times New Roman" w:hAnsi="Times New Roman" w:cs="Times New Roman"/>
          <w:sz w:val="24"/>
          <w:szCs w:val="24"/>
        </w:rPr>
        <w:t>easily extract oil from its seeds</w:t>
      </w:r>
      <w:r w:rsidR="00AE6BDE" w:rsidRPr="00FD782A">
        <w:rPr>
          <w:rFonts w:ascii="Times New Roman" w:hAnsi="Times New Roman" w:cs="Times New Roman"/>
          <w:sz w:val="24"/>
          <w:szCs w:val="24"/>
        </w:rPr>
        <w:t xml:space="preserve"> which can be successfully used as an alternate fuel to meet the requirements of fuel at the most economical rate. The oil extracted from </w:t>
      </w:r>
      <w:r w:rsidR="003E0637" w:rsidRPr="00FD782A">
        <w:rPr>
          <w:rFonts w:ascii="Times New Roman" w:eastAsia="Times New Roman" w:hAnsi="Times New Roman" w:cs="Times New Roman"/>
          <w:sz w:val="24"/>
          <w:szCs w:val="24"/>
        </w:rPr>
        <w:t>Honne</w:t>
      </w:r>
      <w:r w:rsidR="00214B07" w:rsidRPr="00FD782A">
        <w:rPr>
          <w:rFonts w:ascii="Times New Roman" w:hAnsi="Times New Roman" w:cs="Times New Roman"/>
          <w:sz w:val="24"/>
          <w:szCs w:val="24"/>
        </w:rPr>
        <w:t xml:space="preserve"> tree</w:t>
      </w:r>
      <w:r w:rsidR="00AE6BDE" w:rsidRPr="00FD782A">
        <w:rPr>
          <w:rFonts w:ascii="Times New Roman" w:hAnsi="Times New Roman" w:cs="Times New Roman"/>
          <w:sz w:val="24"/>
          <w:szCs w:val="24"/>
        </w:rPr>
        <w:t xml:space="preserve"> can be blended with </w:t>
      </w:r>
      <w:r w:rsidR="00175D98" w:rsidRPr="00FD782A">
        <w:rPr>
          <w:rFonts w:ascii="Times New Roman" w:hAnsi="Times New Roman" w:cs="Times New Roman"/>
          <w:sz w:val="24"/>
          <w:szCs w:val="24"/>
        </w:rPr>
        <w:t>Diesel and used in Diesel Engine.</w:t>
      </w:r>
      <w:r w:rsidR="00AE6BDE" w:rsidRPr="00FD782A">
        <w:rPr>
          <w:rFonts w:ascii="Times New Roman" w:hAnsi="Times New Roman" w:cs="Times New Roman"/>
          <w:sz w:val="24"/>
          <w:szCs w:val="24"/>
        </w:rPr>
        <w:t xml:space="preserve"> Several researchers have taken efforts to adopt sui</w:t>
      </w:r>
      <w:r w:rsidR="00214B07" w:rsidRPr="00FD782A">
        <w:rPr>
          <w:rFonts w:ascii="Times New Roman" w:hAnsi="Times New Roman" w:cs="Times New Roman"/>
          <w:sz w:val="24"/>
          <w:szCs w:val="24"/>
        </w:rPr>
        <w:t>tab</w:t>
      </w:r>
      <w:r w:rsidR="003E0637" w:rsidRPr="00FD782A">
        <w:rPr>
          <w:rFonts w:ascii="Times New Roman" w:hAnsi="Times New Roman" w:cs="Times New Roman"/>
          <w:sz w:val="24"/>
          <w:szCs w:val="24"/>
        </w:rPr>
        <w:t xml:space="preserve">le methods of using </w:t>
      </w:r>
      <w:r w:rsidR="003E0637" w:rsidRPr="00FD782A">
        <w:rPr>
          <w:rFonts w:ascii="Times New Roman" w:eastAsia="Times New Roman" w:hAnsi="Times New Roman" w:cs="Times New Roman"/>
          <w:sz w:val="24"/>
          <w:szCs w:val="24"/>
        </w:rPr>
        <w:t>Honne oil</w:t>
      </w:r>
      <w:r w:rsidR="00214B07" w:rsidRPr="00FD782A">
        <w:rPr>
          <w:rFonts w:ascii="Times New Roman" w:hAnsi="Times New Roman" w:cs="Times New Roman"/>
          <w:sz w:val="24"/>
          <w:szCs w:val="24"/>
        </w:rPr>
        <w:t xml:space="preserve"> which exhibits</w:t>
      </w:r>
      <w:r w:rsidR="00AE6BDE" w:rsidRPr="00FD782A">
        <w:rPr>
          <w:rFonts w:ascii="Times New Roman" w:hAnsi="Times New Roman" w:cs="Times New Roman"/>
          <w:sz w:val="24"/>
          <w:szCs w:val="24"/>
        </w:rPr>
        <w:t xml:space="preserve"> improved performance and reduced emissions.</w:t>
      </w:r>
    </w:p>
    <w:p w:rsidR="00153CE2" w:rsidRPr="00FD782A" w:rsidRDefault="001A55D6" w:rsidP="00332684">
      <w:pPr>
        <w:widowControl w:val="0"/>
        <w:autoSpaceDE w:val="0"/>
        <w:autoSpaceDN w:val="0"/>
        <w:adjustRightInd w:val="0"/>
        <w:spacing w:after="0" w:line="240" w:lineRule="auto"/>
        <w:jc w:val="both"/>
        <w:rPr>
          <w:rFonts w:ascii="Times New Roman" w:hAnsi="Times New Roman" w:cs="Times New Roman"/>
          <w:b/>
          <w:sz w:val="24"/>
          <w:szCs w:val="24"/>
        </w:rPr>
      </w:pPr>
      <w:r w:rsidRPr="00FD782A">
        <w:rPr>
          <w:rFonts w:ascii="Times New Roman" w:hAnsi="Times New Roman" w:cs="Times New Roman"/>
          <w:b/>
          <w:bCs/>
          <w:sz w:val="24"/>
          <w:szCs w:val="24"/>
        </w:rPr>
        <w:t>2</w:t>
      </w:r>
      <w:r w:rsidR="00D73275" w:rsidRPr="00FD782A">
        <w:rPr>
          <w:rFonts w:ascii="Times New Roman" w:hAnsi="Times New Roman" w:cs="Times New Roman"/>
          <w:b/>
          <w:bCs/>
          <w:sz w:val="24"/>
          <w:szCs w:val="24"/>
        </w:rPr>
        <w:t xml:space="preserve">. PROPERTIES OF </w:t>
      </w:r>
      <w:r w:rsidR="003E0637" w:rsidRPr="00FD782A">
        <w:rPr>
          <w:rFonts w:ascii="Times New Roman" w:hAnsi="Times New Roman" w:cs="Times New Roman"/>
          <w:b/>
          <w:sz w:val="24"/>
          <w:szCs w:val="24"/>
        </w:rPr>
        <w:t>HONNE</w:t>
      </w:r>
      <w:r w:rsidR="003E0637" w:rsidRPr="00FD782A">
        <w:rPr>
          <w:rFonts w:ascii="Times New Roman" w:eastAsia="Times New Roman" w:hAnsi="Times New Roman" w:cs="Times New Roman"/>
          <w:b/>
          <w:sz w:val="24"/>
          <w:szCs w:val="24"/>
        </w:rPr>
        <w:t xml:space="preserve"> </w:t>
      </w:r>
      <w:r w:rsidR="003E0637" w:rsidRPr="00FD782A">
        <w:rPr>
          <w:rFonts w:ascii="Times New Roman" w:hAnsi="Times New Roman" w:cs="Times New Roman"/>
          <w:b/>
          <w:sz w:val="24"/>
          <w:szCs w:val="24"/>
        </w:rPr>
        <w:t>OIL</w:t>
      </w:r>
    </w:p>
    <w:p w:rsidR="006474C3" w:rsidRPr="00FD782A" w:rsidRDefault="006474C3" w:rsidP="00332684">
      <w:pPr>
        <w:widowControl w:val="0"/>
        <w:autoSpaceDE w:val="0"/>
        <w:autoSpaceDN w:val="0"/>
        <w:adjustRightInd w:val="0"/>
        <w:spacing w:after="0" w:line="240" w:lineRule="auto"/>
        <w:jc w:val="both"/>
        <w:rPr>
          <w:rFonts w:ascii="Times New Roman" w:hAnsi="Times New Roman" w:cs="Times New Roman"/>
          <w:sz w:val="24"/>
          <w:szCs w:val="24"/>
        </w:rPr>
      </w:pPr>
    </w:p>
    <w:p w:rsidR="00153CE2" w:rsidRPr="00FD782A" w:rsidRDefault="00FD1690" w:rsidP="00332684">
      <w:pPr>
        <w:widowControl w:val="0"/>
        <w:autoSpaceDE w:val="0"/>
        <w:autoSpaceDN w:val="0"/>
        <w:adjustRightInd w:val="0"/>
        <w:spacing w:after="0" w:line="236" w:lineRule="exact"/>
        <w:ind w:left="720" w:firstLine="720"/>
        <w:rPr>
          <w:rFonts w:ascii="Times New Roman" w:hAnsi="Times New Roman" w:cs="Times New Roman"/>
          <w:sz w:val="24"/>
          <w:szCs w:val="24"/>
        </w:rPr>
      </w:pPr>
      <w:r w:rsidRPr="00FD782A">
        <w:rPr>
          <w:rFonts w:ascii="Times New Roman" w:hAnsi="Times New Roman" w:cs="Times New Roman"/>
          <w:sz w:val="24"/>
          <w:szCs w:val="24"/>
        </w:rPr>
        <w:t>The Honne</w:t>
      </w:r>
      <w:r w:rsidR="003163A4" w:rsidRPr="00FD782A">
        <w:rPr>
          <w:rFonts w:ascii="Times New Roman" w:hAnsi="Times New Roman" w:cs="Times New Roman"/>
          <w:sz w:val="24"/>
          <w:szCs w:val="24"/>
        </w:rPr>
        <w:t xml:space="preserve"> oil is ext</w:t>
      </w:r>
      <w:r w:rsidRPr="00FD782A">
        <w:rPr>
          <w:rFonts w:ascii="Times New Roman" w:hAnsi="Times New Roman" w:cs="Times New Roman"/>
          <w:sz w:val="24"/>
          <w:szCs w:val="24"/>
        </w:rPr>
        <w:t>racted from the seed of the honne</w:t>
      </w:r>
      <w:r w:rsidR="003163A4" w:rsidRPr="00FD782A">
        <w:rPr>
          <w:rFonts w:ascii="Times New Roman" w:hAnsi="Times New Roman" w:cs="Times New Roman"/>
          <w:sz w:val="24"/>
          <w:szCs w:val="24"/>
        </w:rPr>
        <w:t xml:space="preserve"> tree</w:t>
      </w:r>
      <w:r w:rsidR="003231D1" w:rsidRPr="00FD782A">
        <w:rPr>
          <w:rFonts w:ascii="Times New Roman" w:hAnsi="Times New Roman" w:cs="Times New Roman"/>
          <w:sz w:val="24"/>
          <w:szCs w:val="24"/>
        </w:rPr>
        <w:t>. The prop</w:t>
      </w:r>
      <w:r w:rsidR="005D00AD" w:rsidRPr="00FD782A">
        <w:rPr>
          <w:rFonts w:ascii="Times New Roman" w:hAnsi="Times New Roman" w:cs="Times New Roman"/>
          <w:sz w:val="24"/>
          <w:szCs w:val="24"/>
        </w:rPr>
        <w:t>erties are shown in Tabl</w:t>
      </w:r>
      <w:r w:rsidR="001E6625" w:rsidRPr="00FD782A">
        <w:rPr>
          <w:rFonts w:ascii="Times New Roman" w:hAnsi="Times New Roman" w:cs="Times New Roman"/>
          <w:sz w:val="24"/>
          <w:szCs w:val="24"/>
        </w:rPr>
        <w:t xml:space="preserve">e </w:t>
      </w:r>
      <w:r w:rsidR="005D00AD" w:rsidRPr="00FD782A">
        <w:rPr>
          <w:rFonts w:ascii="Times New Roman" w:hAnsi="Times New Roman" w:cs="Times New Roman"/>
          <w:sz w:val="24"/>
          <w:szCs w:val="24"/>
        </w:rPr>
        <w:t>1.</w:t>
      </w:r>
    </w:p>
    <w:p w:rsidR="000208ED" w:rsidRPr="00FD782A" w:rsidRDefault="000208ED" w:rsidP="002A3221">
      <w:pPr>
        <w:widowControl w:val="0"/>
        <w:autoSpaceDE w:val="0"/>
        <w:autoSpaceDN w:val="0"/>
        <w:adjustRightInd w:val="0"/>
        <w:spacing w:after="0" w:line="240" w:lineRule="auto"/>
        <w:ind w:left="2880" w:firstLine="720"/>
        <w:rPr>
          <w:rFonts w:ascii="Times New Roman" w:hAnsi="Times New Roman" w:cs="Times New Roman"/>
          <w:sz w:val="24"/>
          <w:szCs w:val="24"/>
        </w:rPr>
      </w:pPr>
    </w:p>
    <w:p w:rsidR="00153CE2" w:rsidRPr="00FD782A" w:rsidRDefault="00153CE2" w:rsidP="002A3221">
      <w:pPr>
        <w:widowControl w:val="0"/>
        <w:autoSpaceDE w:val="0"/>
        <w:autoSpaceDN w:val="0"/>
        <w:adjustRightInd w:val="0"/>
        <w:spacing w:after="0" w:line="240" w:lineRule="auto"/>
        <w:ind w:left="2880" w:firstLine="720"/>
        <w:rPr>
          <w:rFonts w:ascii="Times New Roman" w:hAnsi="Times New Roman" w:cs="Times New Roman"/>
          <w:sz w:val="24"/>
          <w:szCs w:val="24"/>
        </w:rPr>
      </w:pPr>
      <w:r w:rsidRPr="00FD782A">
        <w:rPr>
          <w:rFonts w:ascii="Times New Roman" w:hAnsi="Times New Roman" w:cs="Times New Roman"/>
          <w:sz w:val="24"/>
          <w:szCs w:val="24"/>
        </w:rPr>
        <w:t xml:space="preserve">Table 1 </w:t>
      </w:r>
      <w:r w:rsidR="00786ED0" w:rsidRPr="00FD782A">
        <w:rPr>
          <w:rFonts w:ascii="Times New Roman" w:hAnsi="Times New Roman" w:cs="Times New Roman"/>
          <w:bCs/>
          <w:sz w:val="24"/>
          <w:szCs w:val="24"/>
        </w:rPr>
        <w:t xml:space="preserve">Properties of hone </w:t>
      </w:r>
      <w:r w:rsidRPr="00FD782A">
        <w:rPr>
          <w:rFonts w:ascii="Times New Roman" w:hAnsi="Times New Roman" w:cs="Times New Roman"/>
          <w:bCs/>
          <w:sz w:val="24"/>
          <w:szCs w:val="24"/>
        </w:rPr>
        <w:t>oil</w:t>
      </w:r>
    </w:p>
    <w:p w:rsidR="00D75C94" w:rsidRPr="00FD782A" w:rsidRDefault="00D75C94" w:rsidP="00D73275">
      <w:pPr>
        <w:widowControl w:val="0"/>
        <w:autoSpaceDE w:val="0"/>
        <w:autoSpaceDN w:val="0"/>
        <w:adjustRightInd w:val="0"/>
        <w:spacing w:after="0" w:line="236" w:lineRule="exact"/>
        <w:rPr>
          <w:rFonts w:ascii="Times New Roman" w:hAnsi="Times New Roman" w:cs="Times New Roman"/>
          <w:b/>
          <w:bCs/>
          <w:sz w:val="24"/>
          <w:szCs w:val="24"/>
        </w:rPr>
      </w:pPr>
    </w:p>
    <w:tbl>
      <w:tblPr>
        <w:tblW w:w="4353" w:type="dxa"/>
        <w:jc w:val="center"/>
        <w:tblCellMar>
          <w:left w:w="0" w:type="dxa"/>
          <w:right w:w="0" w:type="dxa"/>
        </w:tblCellMar>
        <w:tblLook w:val="04A0"/>
      </w:tblPr>
      <w:tblGrid>
        <w:gridCol w:w="1481"/>
        <w:gridCol w:w="1435"/>
        <w:gridCol w:w="1437"/>
      </w:tblGrid>
      <w:tr w:rsidR="001B129D" w:rsidRPr="00FD782A" w:rsidTr="009C678F">
        <w:trPr>
          <w:trHeight w:val="526"/>
          <w:jc w:val="center"/>
        </w:trPr>
        <w:tc>
          <w:tcPr>
            <w:tcW w:w="1481"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1B129D"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 xml:space="preserve">Properties </w:t>
            </w:r>
          </w:p>
        </w:tc>
        <w:tc>
          <w:tcPr>
            <w:tcW w:w="1435"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1B129D"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 xml:space="preserve">Diesel </w:t>
            </w:r>
          </w:p>
        </w:tc>
        <w:tc>
          <w:tcPr>
            <w:tcW w:w="1437"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0C1806"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Honne</w:t>
            </w:r>
            <w:r w:rsidR="00692AA0" w:rsidRPr="00FD782A">
              <w:rPr>
                <w:rFonts w:ascii="Times New Roman" w:hAnsi="Times New Roman" w:cs="Times New Roman"/>
                <w:sz w:val="24"/>
                <w:szCs w:val="24"/>
                <w:lang w:val="en-IN"/>
              </w:rPr>
              <w:t xml:space="preserve"> </w:t>
            </w:r>
            <w:r w:rsidR="001B129D" w:rsidRPr="00FD782A">
              <w:rPr>
                <w:rFonts w:ascii="Times New Roman" w:hAnsi="Times New Roman" w:cs="Times New Roman"/>
                <w:sz w:val="24"/>
                <w:szCs w:val="24"/>
                <w:lang w:val="en-IN"/>
              </w:rPr>
              <w:t xml:space="preserve"> oil </w:t>
            </w:r>
          </w:p>
        </w:tc>
      </w:tr>
      <w:tr w:rsidR="001B129D" w:rsidRPr="00FD782A" w:rsidTr="009C678F">
        <w:trPr>
          <w:trHeight w:val="526"/>
          <w:jc w:val="center"/>
        </w:trPr>
        <w:tc>
          <w:tcPr>
            <w:tcW w:w="1481"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1B129D"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 xml:space="preserve">Calorific Value(kj/kg) </w:t>
            </w:r>
          </w:p>
        </w:tc>
        <w:tc>
          <w:tcPr>
            <w:tcW w:w="1435"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0C1806" w:rsidP="00692AA0">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430</w:t>
            </w:r>
            <w:r w:rsidR="001B129D" w:rsidRPr="00FD782A">
              <w:rPr>
                <w:rFonts w:ascii="Times New Roman" w:hAnsi="Times New Roman" w:cs="Times New Roman"/>
                <w:sz w:val="24"/>
                <w:szCs w:val="24"/>
                <w:lang w:val="en-IN"/>
              </w:rPr>
              <w:t>00</w:t>
            </w:r>
          </w:p>
        </w:tc>
        <w:tc>
          <w:tcPr>
            <w:tcW w:w="1437"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2D5A1C"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39100</w:t>
            </w:r>
            <w:r w:rsidR="001B129D" w:rsidRPr="00FD782A">
              <w:rPr>
                <w:rFonts w:ascii="Times New Roman" w:hAnsi="Times New Roman" w:cs="Times New Roman"/>
                <w:sz w:val="24"/>
                <w:szCs w:val="24"/>
                <w:lang w:val="en-IN"/>
              </w:rPr>
              <w:t xml:space="preserve"> </w:t>
            </w:r>
          </w:p>
        </w:tc>
      </w:tr>
      <w:tr w:rsidR="001B129D" w:rsidRPr="00FD782A" w:rsidTr="009C678F">
        <w:trPr>
          <w:trHeight w:val="526"/>
          <w:jc w:val="center"/>
        </w:trPr>
        <w:tc>
          <w:tcPr>
            <w:tcW w:w="1481"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1B129D"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 xml:space="preserve">Density at </w:t>
            </w:r>
            <w:r w:rsidR="00692AA0" w:rsidRPr="00FD782A">
              <w:rPr>
                <w:rFonts w:ascii="Times New Roman" w:hAnsi="Times New Roman" w:cs="Times New Roman"/>
                <w:sz w:val="24"/>
                <w:szCs w:val="24"/>
                <w:lang w:val="en-IN"/>
              </w:rPr>
              <w:t>15</w:t>
            </w:r>
            <w:r w:rsidRPr="00FD782A">
              <w:rPr>
                <w:rFonts w:ascii="Times New Roman" w:hAnsi="Times New Roman" w:cs="Times New Roman"/>
                <w:sz w:val="24"/>
                <w:szCs w:val="24"/>
                <w:vertAlign w:val="superscript"/>
                <w:lang w:val="en-IN"/>
              </w:rPr>
              <w:t>0</w:t>
            </w:r>
            <w:r w:rsidR="00692AA0" w:rsidRPr="00FD782A">
              <w:rPr>
                <w:rFonts w:ascii="Times New Roman" w:hAnsi="Times New Roman" w:cs="Times New Roman"/>
                <w:sz w:val="24"/>
                <w:szCs w:val="24"/>
                <w:lang w:val="en-IN"/>
              </w:rPr>
              <w:t>C(kg/m</w:t>
            </w:r>
            <w:r w:rsidR="00692AA0" w:rsidRPr="00FD782A">
              <w:rPr>
                <w:rFonts w:ascii="Times New Roman" w:hAnsi="Times New Roman" w:cs="Times New Roman"/>
                <w:sz w:val="24"/>
                <w:szCs w:val="24"/>
                <w:vertAlign w:val="superscript"/>
                <w:lang w:val="en-IN"/>
              </w:rPr>
              <w:t>3</w:t>
            </w:r>
            <w:r w:rsidRPr="00FD782A">
              <w:rPr>
                <w:rFonts w:ascii="Times New Roman" w:hAnsi="Times New Roman" w:cs="Times New Roman"/>
                <w:sz w:val="24"/>
                <w:szCs w:val="24"/>
                <w:lang w:val="en-IN"/>
              </w:rPr>
              <w:t xml:space="preserve">) </w:t>
            </w:r>
          </w:p>
        </w:tc>
        <w:tc>
          <w:tcPr>
            <w:tcW w:w="1435"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692AA0"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8</w:t>
            </w:r>
            <w:r w:rsidR="00AE7C51" w:rsidRPr="00FD782A">
              <w:rPr>
                <w:rFonts w:ascii="Times New Roman" w:hAnsi="Times New Roman" w:cs="Times New Roman"/>
                <w:sz w:val="24"/>
                <w:szCs w:val="24"/>
                <w:lang w:val="en-IN"/>
              </w:rPr>
              <w:t>50</w:t>
            </w:r>
          </w:p>
        </w:tc>
        <w:tc>
          <w:tcPr>
            <w:tcW w:w="1437"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AE7C51"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910</w:t>
            </w:r>
          </w:p>
        </w:tc>
      </w:tr>
      <w:tr w:rsidR="001B129D" w:rsidRPr="00FD782A" w:rsidTr="009C678F">
        <w:trPr>
          <w:trHeight w:val="526"/>
          <w:jc w:val="center"/>
        </w:trPr>
        <w:tc>
          <w:tcPr>
            <w:tcW w:w="1481"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1B129D"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Flash point (</w:t>
            </w:r>
            <w:r w:rsidRPr="00FD782A">
              <w:rPr>
                <w:rFonts w:ascii="Times New Roman" w:hAnsi="Times New Roman" w:cs="Times New Roman"/>
                <w:sz w:val="24"/>
                <w:szCs w:val="24"/>
                <w:vertAlign w:val="superscript"/>
                <w:lang w:val="en-IN"/>
              </w:rPr>
              <w:t>0</w:t>
            </w:r>
            <w:r w:rsidRPr="00FD782A">
              <w:rPr>
                <w:rFonts w:ascii="Times New Roman" w:hAnsi="Times New Roman" w:cs="Times New Roman"/>
                <w:sz w:val="24"/>
                <w:szCs w:val="24"/>
                <w:lang w:val="en-IN"/>
              </w:rPr>
              <w:t xml:space="preserve">C) </w:t>
            </w:r>
          </w:p>
        </w:tc>
        <w:tc>
          <w:tcPr>
            <w:tcW w:w="1435"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726757"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52</w:t>
            </w:r>
          </w:p>
        </w:tc>
        <w:tc>
          <w:tcPr>
            <w:tcW w:w="1437"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726757"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224</w:t>
            </w:r>
          </w:p>
        </w:tc>
      </w:tr>
      <w:tr w:rsidR="001B129D" w:rsidRPr="00FD782A" w:rsidTr="009C678F">
        <w:trPr>
          <w:trHeight w:val="1053"/>
          <w:jc w:val="center"/>
        </w:trPr>
        <w:tc>
          <w:tcPr>
            <w:tcW w:w="1481"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1B129D"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 xml:space="preserve">Kinematic viscosity at </w:t>
            </w:r>
          </w:p>
          <w:p w:rsidR="001B129D" w:rsidRPr="00FD782A" w:rsidRDefault="001B129D"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 xml:space="preserve">40 </w:t>
            </w:r>
            <w:r w:rsidRPr="00FD782A">
              <w:rPr>
                <w:rFonts w:ascii="Times New Roman" w:hAnsi="Times New Roman" w:cs="Times New Roman"/>
                <w:sz w:val="24"/>
                <w:szCs w:val="24"/>
                <w:vertAlign w:val="superscript"/>
                <w:lang w:val="en-IN"/>
              </w:rPr>
              <w:t>0</w:t>
            </w:r>
            <w:r w:rsidRPr="00FD782A">
              <w:rPr>
                <w:rFonts w:ascii="Times New Roman" w:hAnsi="Times New Roman" w:cs="Times New Roman"/>
                <w:sz w:val="24"/>
                <w:szCs w:val="24"/>
                <w:lang w:val="en-IN"/>
              </w:rPr>
              <w:t>C</w:t>
            </w:r>
          </w:p>
          <w:p w:rsidR="001B129D" w:rsidRPr="00FD782A" w:rsidRDefault="00692AA0" w:rsidP="000B6D64">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w:t>
            </w:r>
            <w:r w:rsidR="000B6D64" w:rsidRPr="00FD782A">
              <w:rPr>
                <w:rFonts w:ascii="Times New Roman" w:hAnsi="Times New Roman" w:cs="Times New Roman"/>
                <w:sz w:val="24"/>
                <w:szCs w:val="24"/>
                <w:lang w:val="en-IN"/>
              </w:rPr>
              <w:t>CST</w:t>
            </w:r>
            <w:r w:rsidR="001B129D" w:rsidRPr="00FD782A">
              <w:rPr>
                <w:rFonts w:ascii="Times New Roman" w:hAnsi="Times New Roman" w:cs="Times New Roman"/>
                <w:sz w:val="24"/>
                <w:szCs w:val="24"/>
                <w:lang w:val="en-IN"/>
              </w:rPr>
              <w:t xml:space="preserve">) </w:t>
            </w:r>
          </w:p>
        </w:tc>
        <w:tc>
          <w:tcPr>
            <w:tcW w:w="1435"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0B6D64"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rPr>
              <w:t>4.59</w:t>
            </w:r>
          </w:p>
        </w:tc>
        <w:tc>
          <w:tcPr>
            <w:tcW w:w="1437" w:type="dxa"/>
            <w:tcBorders>
              <w:top w:val="single" w:sz="8" w:space="0" w:color="FE8637"/>
              <w:left w:val="single" w:sz="8" w:space="0" w:color="FE8637"/>
              <w:bottom w:val="single" w:sz="8" w:space="0" w:color="FE8637"/>
              <w:right w:val="single" w:sz="8" w:space="0" w:color="FE8637"/>
            </w:tcBorders>
            <w:shd w:val="clear" w:color="auto" w:fill="FFEDE8"/>
            <w:tcMar>
              <w:top w:w="17" w:type="dxa"/>
              <w:left w:w="108" w:type="dxa"/>
              <w:bottom w:w="0" w:type="dxa"/>
              <w:right w:w="108" w:type="dxa"/>
            </w:tcMar>
            <w:hideMark/>
          </w:tcPr>
          <w:p w:rsidR="001B129D" w:rsidRPr="00FD782A" w:rsidRDefault="000B6D64" w:rsidP="0087280A">
            <w:pPr>
              <w:widowControl w:val="0"/>
              <w:autoSpaceDE w:val="0"/>
              <w:autoSpaceDN w:val="0"/>
              <w:adjustRightInd w:val="0"/>
              <w:spacing w:after="0" w:line="236" w:lineRule="exact"/>
              <w:rPr>
                <w:rFonts w:ascii="Times New Roman" w:hAnsi="Times New Roman" w:cs="Times New Roman"/>
                <w:sz w:val="24"/>
                <w:szCs w:val="24"/>
              </w:rPr>
            </w:pPr>
            <w:r w:rsidRPr="00FD782A">
              <w:rPr>
                <w:rFonts w:ascii="Times New Roman" w:hAnsi="Times New Roman" w:cs="Times New Roman"/>
                <w:sz w:val="24"/>
                <w:szCs w:val="24"/>
                <w:lang w:val="en-IN"/>
              </w:rPr>
              <w:t>3.47</w:t>
            </w:r>
          </w:p>
        </w:tc>
      </w:tr>
    </w:tbl>
    <w:p w:rsidR="00D73275" w:rsidRPr="00FD782A" w:rsidRDefault="00D73275" w:rsidP="00D73275">
      <w:pPr>
        <w:widowControl w:val="0"/>
        <w:autoSpaceDE w:val="0"/>
        <w:autoSpaceDN w:val="0"/>
        <w:adjustRightInd w:val="0"/>
        <w:spacing w:after="0" w:line="236" w:lineRule="exact"/>
        <w:rPr>
          <w:rFonts w:ascii="Times New Roman" w:hAnsi="Times New Roman" w:cs="Times New Roman"/>
          <w:b/>
          <w:bCs/>
          <w:sz w:val="24"/>
          <w:szCs w:val="24"/>
        </w:rPr>
      </w:pPr>
    </w:p>
    <w:p w:rsidR="00FD782A" w:rsidRDefault="00FD782A" w:rsidP="00512D51">
      <w:pPr>
        <w:pStyle w:val="Default"/>
        <w:spacing w:after="167"/>
        <w:rPr>
          <w:b/>
        </w:rPr>
      </w:pPr>
    </w:p>
    <w:p w:rsidR="00512D51" w:rsidRPr="00FD782A" w:rsidRDefault="00FA117A" w:rsidP="00512D51">
      <w:pPr>
        <w:pStyle w:val="Default"/>
        <w:spacing w:after="167"/>
        <w:rPr>
          <w:b/>
          <w:bCs/>
        </w:rPr>
      </w:pPr>
      <w:r w:rsidRPr="00FD782A">
        <w:rPr>
          <w:b/>
        </w:rPr>
        <w:lastRenderedPageBreak/>
        <w:t>3</w:t>
      </w:r>
      <w:r w:rsidR="00D73275" w:rsidRPr="00FD782A">
        <w:rPr>
          <w:b/>
        </w:rPr>
        <w:t>.</w:t>
      </w:r>
      <w:r w:rsidR="00D73275" w:rsidRPr="00FD782A">
        <w:rPr>
          <w:b/>
          <w:bCs/>
        </w:rPr>
        <w:t xml:space="preserve"> SPECIFICATIONS OF DIESEL ENGINE</w:t>
      </w:r>
    </w:p>
    <w:p w:rsidR="00D73275" w:rsidRPr="00FD782A" w:rsidRDefault="00D73275" w:rsidP="006474C3">
      <w:pPr>
        <w:pStyle w:val="Default"/>
        <w:spacing w:after="167" w:line="360" w:lineRule="auto"/>
        <w:ind w:firstLine="720"/>
        <w:rPr>
          <w:b/>
          <w:bCs/>
        </w:rPr>
      </w:pPr>
      <w:r w:rsidRPr="00FD782A">
        <w:t xml:space="preserve">The engine which is </w:t>
      </w:r>
      <w:r w:rsidR="000153B0" w:rsidRPr="00FD782A">
        <w:t>supplied by New Kirloskar</w:t>
      </w:r>
      <w:r w:rsidRPr="00FD782A">
        <w:t xml:space="preserve"> Company the engine is single cylinder vertical type four stroke, water-coo1ed, and compression ignition engine. The engine is self-governed type whose spec</w:t>
      </w:r>
      <w:r w:rsidR="00CA1648" w:rsidRPr="00FD782A">
        <w:t>ifications are given in Table 2</w:t>
      </w:r>
      <w:r w:rsidR="00AF6AF9" w:rsidRPr="00FD782A">
        <w:t xml:space="preserve"> i</w:t>
      </w:r>
      <w:r w:rsidRPr="00FD782A">
        <w:t>s used in the present work.</w:t>
      </w:r>
      <w:r w:rsidRPr="00FD782A">
        <w:rPr>
          <w:rFonts w:eastAsia="Times New Roman"/>
          <w:b/>
          <w:position w:val="6"/>
        </w:rPr>
        <w:t xml:space="preserve"> </w:t>
      </w:r>
    </w:p>
    <w:p w:rsidR="00153CE2" w:rsidRPr="00FD782A" w:rsidRDefault="00153CE2" w:rsidP="00153CE2">
      <w:pPr>
        <w:spacing w:after="0" w:line="240" w:lineRule="auto"/>
        <w:jc w:val="center"/>
        <w:rPr>
          <w:rFonts w:ascii="Times New Roman" w:eastAsia="Times New Roman" w:hAnsi="Times New Roman" w:cs="Times New Roman"/>
          <w:position w:val="6"/>
          <w:sz w:val="24"/>
          <w:szCs w:val="24"/>
        </w:rPr>
      </w:pPr>
      <w:r w:rsidRPr="00FD782A">
        <w:rPr>
          <w:rFonts w:ascii="Times New Roman" w:eastAsia="Times New Roman" w:hAnsi="Times New Roman" w:cs="Times New Roman"/>
          <w:position w:val="6"/>
          <w:sz w:val="24"/>
          <w:szCs w:val="24"/>
        </w:rPr>
        <w:t>Table 2 Engine specifications</w:t>
      </w:r>
    </w:p>
    <w:p w:rsidR="00D73275" w:rsidRPr="00FD782A" w:rsidRDefault="00D73275" w:rsidP="00880B79">
      <w:pPr>
        <w:spacing w:after="0" w:line="240" w:lineRule="auto"/>
        <w:jc w:val="both"/>
        <w:rPr>
          <w:rFonts w:ascii="Times New Roman" w:eastAsia="Times New Roman" w:hAnsi="Times New Roman" w:cs="Times New Roman"/>
          <w:b/>
          <w:position w:val="6"/>
          <w:sz w:val="24"/>
          <w:szCs w:val="24"/>
        </w:rPr>
      </w:pPr>
    </w:p>
    <w:tbl>
      <w:tblPr>
        <w:tblStyle w:val="TableGrid"/>
        <w:tblW w:w="0" w:type="auto"/>
        <w:jc w:val="center"/>
        <w:tblLook w:val="04A0"/>
      </w:tblPr>
      <w:tblGrid>
        <w:gridCol w:w="2328"/>
        <w:gridCol w:w="2328"/>
      </w:tblGrid>
      <w:tr w:rsidR="00D73275" w:rsidRPr="00FD782A" w:rsidTr="00153CE2">
        <w:trPr>
          <w:trHeight w:val="234"/>
          <w:jc w:val="center"/>
        </w:trPr>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hAnsi="Times New Roman" w:cs="Times New Roman"/>
                <w:b/>
                <w:bCs/>
                <w:sz w:val="24"/>
                <w:szCs w:val="24"/>
              </w:rPr>
              <w:t>Item</w:t>
            </w:r>
          </w:p>
        </w:tc>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hAnsi="Times New Roman" w:cs="Times New Roman"/>
                <w:b/>
                <w:bCs/>
                <w:sz w:val="24"/>
                <w:szCs w:val="24"/>
              </w:rPr>
              <w:t>Specification</w:t>
            </w:r>
          </w:p>
        </w:tc>
      </w:tr>
      <w:tr w:rsidR="00D73275" w:rsidRPr="00FD782A" w:rsidTr="00153CE2">
        <w:trPr>
          <w:trHeight w:val="234"/>
          <w:jc w:val="center"/>
        </w:trPr>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Engine</w:t>
            </w:r>
          </w:p>
        </w:tc>
        <w:tc>
          <w:tcPr>
            <w:tcW w:w="2328" w:type="dxa"/>
            <w:vAlign w:val="center"/>
          </w:tcPr>
          <w:p w:rsidR="00D73275" w:rsidRPr="00FD782A" w:rsidRDefault="000153B0"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Kirloskar Engine</w:t>
            </w:r>
            <w:r w:rsidR="00D73275" w:rsidRPr="00FD782A">
              <w:rPr>
                <w:rFonts w:ascii="Times New Roman" w:eastAsia="Times New Roman" w:hAnsi="Times New Roman" w:cs="Times New Roman"/>
                <w:bCs/>
                <w:position w:val="6"/>
                <w:sz w:val="24"/>
                <w:szCs w:val="24"/>
              </w:rPr>
              <w:t>, 4 stroke-stationary.</w:t>
            </w:r>
          </w:p>
        </w:tc>
      </w:tr>
      <w:tr w:rsidR="00D73275" w:rsidRPr="00FD782A" w:rsidTr="00153CE2">
        <w:trPr>
          <w:trHeight w:val="247"/>
          <w:jc w:val="center"/>
        </w:trPr>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Type</w:t>
            </w:r>
          </w:p>
        </w:tc>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water-cooled</w:t>
            </w:r>
          </w:p>
        </w:tc>
      </w:tr>
      <w:tr w:rsidR="00D73275" w:rsidRPr="00FD782A" w:rsidTr="00153CE2">
        <w:trPr>
          <w:trHeight w:val="234"/>
          <w:jc w:val="center"/>
        </w:trPr>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Injection</w:t>
            </w:r>
          </w:p>
        </w:tc>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direct injection (DI)</w:t>
            </w:r>
          </w:p>
        </w:tc>
      </w:tr>
      <w:tr w:rsidR="00D73275" w:rsidRPr="00FD782A" w:rsidTr="00153CE2">
        <w:trPr>
          <w:trHeight w:val="247"/>
          <w:jc w:val="center"/>
        </w:trPr>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Maximum speed</w:t>
            </w:r>
          </w:p>
        </w:tc>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1500</w:t>
            </w:r>
            <w:r w:rsidR="00C53E93" w:rsidRPr="00FD782A">
              <w:rPr>
                <w:rFonts w:ascii="Times New Roman" w:eastAsia="Times New Roman" w:hAnsi="Times New Roman" w:cs="Times New Roman"/>
                <w:bCs/>
                <w:position w:val="6"/>
                <w:sz w:val="24"/>
                <w:szCs w:val="24"/>
              </w:rPr>
              <w:t>rpm</w:t>
            </w:r>
          </w:p>
        </w:tc>
      </w:tr>
      <w:tr w:rsidR="00D73275" w:rsidRPr="00FD782A" w:rsidTr="00153CE2">
        <w:trPr>
          <w:trHeight w:val="247"/>
          <w:jc w:val="center"/>
        </w:trPr>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Number of Cylinder</w:t>
            </w:r>
          </w:p>
        </w:tc>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One</w:t>
            </w:r>
          </w:p>
        </w:tc>
      </w:tr>
      <w:tr w:rsidR="00D73275" w:rsidRPr="00FD782A" w:rsidTr="00153CE2">
        <w:trPr>
          <w:trHeight w:val="234"/>
          <w:jc w:val="center"/>
        </w:trPr>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Bore</w:t>
            </w:r>
          </w:p>
        </w:tc>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smartTag w:uri="urn:schemas-microsoft-com:office:smarttags" w:element="metricconverter">
              <w:smartTagPr>
                <w:attr w:name="ProductID" w:val="85 mm"/>
              </w:smartTagPr>
              <w:r w:rsidRPr="00FD782A">
                <w:rPr>
                  <w:rFonts w:ascii="Times New Roman" w:eastAsia="Times New Roman" w:hAnsi="Times New Roman" w:cs="Times New Roman"/>
                  <w:bCs/>
                  <w:position w:val="6"/>
                  <w:sz w:val="24"/>
                  <w:szCs w:val="24"/>
                </w:rPr>
                <w:t>85 mm</w:t>
              </w:r>
            </w:smartTag>
          </w:p>
        </w:tc>
      </w:tr>
      <w:tr w:rsidR="00D73275" w:rsidRPr="00FD782A" w:rsidTr="00153CE2">
        <w:trPr>
          <w:trHeight w:val="247"/>
          <w:jc w:val="center"/>
        </w:trPr>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Stroke</w:t>
            </w:r>
          </w:p>
        </w:tc>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smartTag w:uri="urn:schemas-microsoft-com:office:smarttags" w:element="metricconverter">
              <w:smartTagPr>
                <w:attr w:name="ProductID" w:val="110 mm"/>
              </w:smartTagPr>
              <w:r w:rsidRPr="00FD782A">
                <w:rPr>
                  <w:rFonts w:ascii="Times New Roman" w:eastAsia="Times New Roman" w:hAnsi="Times New Roman" w:cs="Times New Roman"/>
                  <w:bCs/>
                  <w:position w:val="6"/>
                  <w:sz w:val="24"/>
                  <w:szCs w:val="24"/>
                </w:rPr>
                <w:t>110 mm</w:t>
              </w:r>
            </w:smartTag>
          </w:p>
        </w:tc>
      </w:tr>
      <w:tr w:rsidR="00D73275" w:rsidRPr="00FD782A" w:rsidTr="00153CE2">
        <w:trPr>
          <w:trHeight w:val="234"/>
          <w:jc w:val="center"/>
        </w:trPr>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Compression Ratio</w:t>
            </w:r>
          </w:p>
        </w:tc>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16.5:1</w:t>
            </w:r>
          </w:p>
        </w:tc>
      </w:tr>
      <w:tr w:rsidR="00D73275" w:rsidRPr="00FD782A" w:rsidTr="00153CE2">
        <w:trPr>
          <w:trHeight w:val="247"/>
          <w:jc w:val="center"/>
        </w:trPr>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Maximum HP</w:t>
            </w:r>
          </w:p>
        </w:tc>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5 HP</w:t>
            </w:r>
          </w:p>
        </w:tc>
      </w:tr>
      <w:tr w:rsidR="00D73275" w:rsidRPr="00FD782A" w:rsidTr="00153CE2">
        <w:trPr>
          <w:trHeight w:val="234"/>
          <w:jc w:val="center"/>
        </w:trPr>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Injection timing</w:t>
            </w:r>
          </w:p>
        </w:tc>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25</w:t>
            </w:r>
            <w:r w:rsidRPr="00FD782A">
              <w:rPr>
                <w:rFonts w:ascii="Times New Roman" w:eastAsia="Times New Roman" w:hAnsi="Times New Roman" w:cs="Times New Roman"/>
                <w:bCs/>
                <w:position w:val="6"/>
                <w:sz w:val="24"/>
                <w:szCs w:val="24"/>
                <w:vertAlign w:val="superscript"/>
              </w:rPr>
              <w:t>0</w:t>
            </w:r>
            <w:r w:rsidRPr="00FD782A">
              <w:rPr>
                <w:rFonts w:ascii="Times New Roman" w:eastAsia="Times New Roman" w:hAnsi="Times New Roman" w:cs="Times New Roman"/>
                <w:bCs/>
                <w:position w:val="6"/>
                <w:sz w:val="24"/>
                <w:szCs w:val="24"/>
              </w:rPr>
              <w:t xml:space="preserve"> before TDC</w:t>
            </w:r>
          </w:p>
        </w:tc>
      </w:tr>
      <w:tr w:rsidR="00D73275" w:rsidRPr="00FD782A" w:rsidTr="00153CE2">
        <w:trPr>
          <w:trHeight w:val="259"/>
          <w:jc w:val="center"/>
        </w:trPr>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Injection pressure</w:t>
            </w:r>
          </w:p>
        </w:tc>
        <w:tc>
          <w:tcPr>
            <w:tcW w:w="2328" w:type="dxa"/>
            <w:vAlign w:val="center"/>
          </w:tcPr>
          <w:p w:rsidR="00D73275" w:rsidRPr="00FD782A" w:rsidRDefault="00D73275" w:rsidP="0087280A">
            <w:pPr>
              <w:spacing w:after="100"/>
              <w:jc w:val="center"/>
              <w:rPr>
                <w:rFonts w:ascii="Times New Roman" w:eastAsia="Times New Roman" w:hAnsi="Times New Roman" w:cs="Times New Roman"/>
                <w:bCs/>
                <w:position w:val="6"/>
                <w:sz w:val="24"/>
                <w:szCs w:val="24"/>
              </w:rPr>
            </w:pPr>
            <w:r w:rsidRPr="00FD782A">
              <w:rPr>
                <w:rFonts w:ascii="Times New Roman" w:eastAsia="Times New Roman" w:hAnsi="Times New Roman" w:cs="Times New Roman"/>
                <w:bCs/>
                <w:position w:val="6"/>
                <w:sz w:val="24"/>
                <w:szCs w:val="24"/>
              </w:rPr>
              <w:t>200 bar</w:t>
            </w:r>
          </w:p>
        </w:tc>
      </w:tr>
    </w:tbl>
    <w:p w:rsidR="00FD782A" w:rsidRDefault="00FD782A" w:rsidP="00400B6E">
      <w:pPr>
        <w:spacing w:line="360" w:lineRule="auto"/>
        <w:rPr>
          <w:rFonts w:ascii="Times New Roman" w:hAnsi="Times New Roman" w:cs="Times New Roman"/>
          <w:b/>
          <w:sz w:val="24"/>
          <w:szCs w:val="24"/>
        </w:rPr>
      </w:pPr>
    </w:p>
    <w:p w:rsidR="00DC6D9E" w:rsidRPr="00FD782A" w:rsidRDefault="00153CE2" w:rsidP="00400B6E">
      <w:pPr>
        <w:spacing w:line="360" w:lineRule="auto"/>
        <w:rPr>
          <w:rFonts w:ascii="Times New Roman" w:hAnsi="Times New Roman" w:cs="Times New Roman"/>
          <w:b/>
          <w:sz w:val="24"/>
          <w:szCs w:val="24"/>
        </w:rPr>
      </w:pPr>
      <w:r w:rsidRPr="00FD782A">
        <w:rPr>
          <w:rFonts w:ascii="Times New Roman" w:hAnsi="Times New Roman" w:cs="Times New Roman"/>
          <w:b/>
          <w:sz w:val="24"/>
          <w:szCs w:val="24"/>
        </w:rPr>
        <w:t>4.</w:t>
      </w:r>
      <w:r w:rsidRPr="00FD782A">
        <w:rPr>
          <w:rFonts w:ascii="Times New Roman" w:hAnsi="Times New Roman" w:cs="Times New Roman"/>
          <w:b/>
          <w:bCs/>
          <w:sz w:val="24"/>
          <w:szCs w:val="24"/>
        </w:rPr>
        <w:t xml:space="preserve"> </w:t>
      </w:r>
      <w:r w:rsidR="001F5B2C" w:rsidRPr="00FD782A">
        <w:rPr>
          <w:rFonts w:ascii="Times New Roman" w:hAnsi="Times New Roman" w:cs="Times New Roman"/>
          <w:b/>
          <w:sz w:val="24"/>
          <w:szCs w:val="24"/>
        </w:rPr>
        <w:t>EXPERIMENTAL SET UP:</w:t>
      </w:r>
      <w:r w:rsidR="00F63487" w:rsidRPr="00FD782A">
        <w:rPr>
          <w:rFonts w:ascii="Times New Roman" w:hAnsi="Times New Roman" w:cs="Times New Roman"/>
          <w:b/>
          <w:sz w:val="24"/>
          <w:szCs w:val="24"/>
        </w:rPr>
        <w:t xml:space="preserve">   </w:t>
      </w:r>
    </w:p>
    <w:p w:rsidR="00005EDB" w:rsidRPr="00FD782A" w:rsidRDefault="001F5B2C" w:rsidP="00400B6E">
      <w:pPr>
        <w:spacing w:line="360" w:lineRule="auto"/>
        <w:rPr>
          <w:rFonts w:ascii="Times New Roman" w:hAnsi="Times New Roman" w:cs="Times New Roman"/>
          <w:b/>
          <w:sz w:val="24"/>
          <w:szCs w:val="24"/>
        </w:rPr>
      </w:pPr>
      <w:r w:rsidRPr="00FD782A">
        <w:rPr>
          <w:rFonts w:ascii="Times New Roman" w:hAnsi="Times New Roman" w:cs="Times New Roman"/>
          <w:sz w:val="24"/>
          <w:szCs w:val="24"/>
        </w:rPr>
        <w:t>The experimental set up consists of engine, an alternator, top load system, fuel tank along with immersion heater, exhaust gas measuring digital device and manometer</w:t>
      </w:r>
    </w:p>
    <w:p w:rsidR="00FD782A" w:rsidRDefault="00005EDB" w:rsidP="0006456D">
      <w:pPr>
        <w:spacing w:line="360" w:lineRule="auto"/>
        <w:ind w:firstLine="720"/>
        <w:jc w:val="both"/>
        <w:rPr>
          <w:rFonts w:ascii="Times New Roman" w:hAnsi="Times New Roman" w:cs="Times New Roman"/>
          <w:sz w:val="24"/>
          <w:szCs w:val="24"/>
        </w:rPr>
      </w:pPr>
      <w:r w:rsidRPr="00FD782A">
        <w:rPr>
          <w:rFonts w:ascii="Times New Roman" w:hAnsi="Times New Roman" w:cs="Times New Roman"/>
          <w:noProof/>
          <w:sz w:val="24"/>
          <w:szCs w:val="24"/>
        </w:rPr>
        <w:lastRenderedPageBreak/>
        <w:drawing>
          <wp:inline distT="0" distB="0" distL="0" distR="0">
            <wp:extent cx="2011769" cy="2019180"/>
            <wp:effectExtent l="19050" t="0" r="7531" b="0"/>
            <wp:docPr id="21" name="Picture 4" descr="DSC0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028"/>
                    <pic:cNvPicPr>
                      <a:picLocks noChangeAspect="1" noChangeArrowheads="1"/>
                    </pic:cNvPicPr>
                  </pic:nvPicPr>
                  <pic:blipFill>
                    <a:blip r:embed="rId10" cstate="print"/>
                    <a:srcRect/>
                    <a:stretch>
                      <a:fillRect/>
                    </a:stretch>
                  </pic:blipFill>
                  <pic:spPr bwMode="auto">
                    <a:xfrm>
                      <a:off x="0" y="0"/>
                      <a:ext cx="2013143" cy="2020559"/>
                    </a:xfrm>
                    <a:prstGeom prst="rect">
                      <a:avLst/>
                    </a:prstGeom>
                    <a:noFill/>
                    <a:ln w="9525">
                      <a:noFill/>
                      <a:miter lim="800000"/>
                      <a:headEnd/>
                      <a:tailEnd/>
                    </a:ln>
                  </pic:spPr>
                </pic:pic>
              </a:graphicData>
            </a:graphic>
          </wp:inline>
        </w:drawing>
      </w:r>
      <w:r w:rsidR="001F5B2C" w:rsidRPr="00FD782A">
        <w:rPr>
          <w:rFonts w:ascii="Times New Roman" w:hAnsi="Times New Roman" w:cs="Times New Roman"/>
          <w:sz w:val="24"/>
          <w:szCs w:val="24"/>
        </w:rPr>
        <w:t>.</w:t>
      </w:r>
      <w:r w:rsidRPr="00FD782A">
        <w:rPr>
          <w:rFonts w:ascii="Times New Roman" w:hAnsi="Times New Roman" w:cs="Times New Roman"/>
          <w:sz w:val="24"/>
          <w:szCs w:val="24"/>
        </w:rPr>
        <w:t xml:space="preserve">  </w:t>
      </w:r>
    </w:p>
    <w:p w:rsidR="00153CE2" w:rsidRPr="00FD782A" w:rsidRDefault="00FD782A" w:rsidP="0006456D">
      <w:pPr>
        <w:spacing w:line="360" w:lineRule="auto"/>
        <w:ind w:firstLine="720"/>
        <w:jc w:val="both"/>
        <w:rPr>
          <w:rFonts w:ascii="Times New Roman" w:hAnsi="Times New Roman" w:cs="Times New Roman"/>
          <w:sz w:val="24"/>
          <w:szCs w:val="24"/>
        </w:rPr>
      </w:pPr>
      <w:r w:rsidRPr="00FD782A">
        <w:rPr>
          <w:rFonts w:ascii="Times New Roman" w:hAnsi="Times New Roman" w:cs="Times New Roman"/>
          <w:bCs/>
          <w:sz w:val="24"/>
          <w:szCs w:val="24"/>
        </w:rPr>
        <w:t>Fig 1</w:t>
      </w:r>
      <w:r w:rsidRPr="00FD782A">
        <w:rPr>
          <w:rFonts w:ascii="Times New Roman" w:hAnsi="Times New Roman" w:cs="Times New Roman"/>
          <w:b/>
          <w:sz w:val="24"/>
          <w:szCs w:val="24"/>
        </w:rPr>
        <w:t xml:space="preserve"> </w:t>
      </w:r>
      <w:r w:rsidRPr="00FD782A">
        <w:rPr>
          <w:rFonts w:ascii="Times New Roman" w:hAnsi="Times New Roman" w:cs="Times New Roman"/>
          <w:sz w:val="24"/>
          <w:szCs w:val="24"/>
        </w:rPr>
        <w:t>Experimental set up</w:t>
      </w:r>
      <w:r w:rsidR="00005EDB" w:rsidRPr="00FD782A">
        <w:rPr>
          <w:rFonts w:ascii="Times New Roman" w:hAnsi="Times New Roman" w:cs="Times New Roman"/>
          <w:sz w:val="24"/>
          <w:szCs w:val="24"/>
        </w:rPr>
        <w:t xml:space="preserve">                            </w:t>
      </w:r>
    </w:p>
    <w:p w:rsidR="00FD782A" w:rsidRDefault="00FD782A" w:rsidP="00E25163">
      <w:pPr>
        <w:pStyle w:val="Default"/>
        <w:spacing w:after="167"/>
        <w:ind w:left="720"/>
        <w:rPr>
          <w:bCs/>
        </w:rPr>
      </w:pPr>
    </w:p>
    <w:p w:rsidR="00FD782A" w:rsidRDefault="00FD782A" w:rsidP="00E25163">
      <w:pPr>
        <w:pStyle w:val="Default"/>
        <w:spacing w:after="167"/>
        <w:ind w:left="720"/>
        <w:rPr>
          <w:bCs/>
        </w:rPr>
      </w:pPr>
      <w:r w:rsidRPr="00FD782A">
        <w:rPr>
          <w:noProof/>
        </w:rPr>
        <w:drawing>
          <wp:inline distT="0" distB="0" distL="0" distR="0">
            <wp:extent cx="2348351" cy="202018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352253" cy="2023542"/>
                    </a:xfrm>
                    <a:prstGeom prst="rect">
                      <a:avLst/>
                    </a:prstGeom>
                    <a:noFill/>
                    <a:ln w="9525">
                      <a:noFill/>
                      <a:miter lim="800000"/>
                      <a:headEnd/>
                      <a:tailEnd/>
                    </a:ln>
                  </pic:spPr>
                </pic:pic>
              </a:graphicData>
            </a:graphic>
          </wp:inline>
        </w:drawing>
      </w:r>
    </w:p>
    <w:p w:rsidR="00E25163" w:rsidRPr="00FD782A" w:rsidRDefault="00AA3568" w:rsidP="00E25163">
      <w:pPr>
        <w:pStyle w:val="Default"/>
        <w:spacing w:after="167"/>
        <w:ind w:left="720"/>
      </w:pPr>
      <w:r w:rsidRPr="00FD782A">
        <w:t>2.</w:t>
      </w:r>
      <w:r w:rsidR="00FD782A">
        <w:t xml:space="preserve"> </w:t>
      </w:r>
      <w:r w:rsidRPr="00FD782A">
        <w:t>Line diagram of experimental setup</w:t>
      </w:r>
    </w:p>
    <w:p w:rsidR="00FD782A" w:rsidRDefault="00FD782A" w:rsidP="00F40BB3">
      <w:pPr>
        <w:spacing w:line="360" w:lineRule="auto"/>
        <w:rPr>
          <w:rFonts w:ascii="Times New Roman" w:hAnsi="Times New Roman" w:cs="Times New Roman"/>
          <w:b/>
          <w:sz w:val="24"/>
          <w:szCs w:val="24"/>
        </w:rPr>
      </w:pPr>
    </w:p>
    <w:p w:rsidR="00F40BB3" w:rsidRPr="00FD782A" w:rsidRDefault="00F968E5" w:rsidP="00F40BB3">
      <w:pPr>
        <w:spacing w:line="360" w:lineRule="auto"/>
        <w:rPr>
          <w:rFonts w:ascii="Times New Roman" w:hAnsi="Times New Roman" w:cs="Times New Roman"/>
          <w:b/>
          <w:sz w:val="24"/>
          <w:szCs w:val="24"/>
        </w:rPr>
      </w:pPr>
      <w:r w:rsidRPr="00FD782A">
        <w:rPr>
          <w:rFonts w:ascii="Times New Roman" w:hAnsi="Times New Roman" w:cs="Times New Roman"/>
          <w:b/>
          <w:sz w:val="24"/>
          <w:szCs w:val="24"/>
        </w:rPr>
        <w:t>3.4 VARIOUS PARTS OF EXPERMENTAL SETUP:</w:t>
      </w:r>
    </w:p>
    <w:p w:rsidR="00F968E5" w:rsidRPr="00FD782A" w:rsidRDefault="00F968E5" w:rsidP="000863D3">
      <w:pPr>
        <w:spacing w:line="360" w:lineRule="auto"/>
        <w:ind w:firstLine="720"/>
        <w:rPr>
          <w:rFonts w:ascii="Times New Roman" w:hAnsi="Times New Roman" w:cs="Times New Roman"/>
          <w:b/>
          <w:sz w:val="24"/>
          <w:szCs w:val="24"/>
        </w:rPr>
      </w:pPr>
      <w:r w:rsidRPr="00FD782A">
        <w:rPr>
          <w:rFonts w:ascii="Times New Roman" w:hAnsi="Times New Roman" w:cs="Times New Roman"/>
          <w:sz w:val="24"/>
          <w:szCs w:val="24"/>
        </w:rPr>
        <w:t>1. ANIL ENGINE</w:t>
      </w:r>
      <w:r w:rsidR="00514443" w:rsidRPr="00FD782A">
        <w:rPr>
          <w:rFonts w:ascii="Times New Roman" w:hAnsi="Times New Roman" w:cs="Times New Roman"/>
          <w:sz w:val="24"/>
          <w:szCs w:val="24"/>
        </w:rPr>
        <w:t xml:space="preserve"> </w:t>
      </w:r>
      <w:r w:rsidR="006474C3" w:rsidRPr="00FD782A">
        <w:rPr>
          <w:rFonts w:ascii="Times New Roman" w:hAnsi="Times New Roman" w:cs="Times New Roman"/>
          <w:sz w:val="24"/>
          <w:szCs w:val="24"/>
        </w:rPr>
        <w:t xml:space="preserve"> </w:t>
      </w:r>
      <w:r w:rsidR="001C1759" w:rsidRPr="00FD782A">
        <w:rPr>
          <w:rFonts w:ascii="Times New Roman" w:hAnsi="Times New Roman" w:cs="Times New Roman"/>
          <w:sz w:val="24"/>
          <w:szCs w:val="24"/>
        </w:rPr>
        <w:t xml:space="preserve"> </w:t>
      </w:r>
      <w:r w:rsidRPr="00FD782A">
        <w:rPr>
          <w:rFonts w:ascii="Times New Roman" w:hAnsi="Times New Roman" w:cs="Times New Roman"/>
          <w:sz w:val="24"/>
          <w:szCs w:val="24"/>
        </w:rPr>
        <w:t>2. ALTERNATOR</w:t>
      </w:r>
      <w:r w:rsidR="00514443" w:rsidRPr="00FD782A">
        <w:rPr>
          <w:rFonts w:ascii="Times New Roman" w:hAnsi="Times New Roman" w:cs="Times New Roman"/>
          <w:sz w:val="24"/>
          <w:szCs w:val="24"/>
        </w:rPr>
        <w:t xml:space="preserve">  </w:t>
      </w:r>
      <w:r w:rsidR="001C1759" w:rsidRPr="00FD782A">
        <w:rPr>
          <w:rFonts w:ascii="Times New Roman" w:hAnsi="Times New Roman" w:cs="Times New Roman"/>
          <w:sz w:val="24"/>
          <w:szCs w:val="24"/>
        </w:rPr>
        <w:t xml:space="preserve"> </w:t>
      </w:r>
      <w:r w:rsidRPr="00FD782A">
        <w:rPr>
          <w:rFonts w:ascii="Times New Roman" w:hAnsi="Times New Roman" w:cs="Times New Roman"/>
          <w:sz w:val="24"/>
          <w:szCs w:val="24"/>
        </w:rPr>
        <w:t>3. DIESEL TANK</w:t>
      </w:r>
      <w:r w:rsidR="00514443" w:rsidRPr="00FD782A">
        <w:rPr>
          <w:rFonts w:ascii="Times New Roman" w:hAnsi="Times New Roman" w:cs="Times New Roman"/>
          <w:sz w:val="24"/>
          <w:szCs w:val="24"/>
        </w:rPr>
        <w:t xml:space="preserve">  </w:t>
      </w:r>
      <w:r w:rsidR="006474C3" w:rsidRPr="00FD782A">
        <w:rPr>
          <w:rFonts w:ascii="Times New Roman" w:hAnsi="Times New Roman" w:cs="Times New Roman"/>
          <w:sz w:val="24"/>
          <w:szCs w:val="24"/>
        </w:rPr>
        <w:t xml:space="preserve"> </w:t>
      </w:r>
      <w:r w:rsidRPr="00FD782A">
        <w:rPr>
          <w:rFonts w:ascii="Times New Roman" w:hAnsi="Times New Roman" w:cs="Times New Roman"/>
          <w:sz w:val="24"/>
          <w:szCs w:val="24"/>
        </w:rPr>
        <w:t xml:space="preserve">4. AIR </w:t>
      </w:r>
      <w:r w:rsidR="00514443" w:rsidRPr="00FD782A">
        <w:rPr>
          <w:rFonts w:ascii="Times New Roman" w:hAnsi="Times New Roman" w:cs="Times New Roman"/>
          <w:sz w:val="24"/>
          <w:szCs w:val="24"/>
        </w:rPr>
        <w:t xml:space="preserve">FILTER </w:t>
      </w:r>
      <w:r w:rsidR="006474C3" w:rsidRPr="00FD782A">
        <w:rPr>
          <w:rFonts w:ascii="Times New Roman" w:hAnsi="Times New Roman" w:cs="Times New Roman"/>
          <w:sz w:val="24"/>
          <w:szCs w:val="24"/>
        </w:rPr>
        <w:t xml:space="preserve"> </w:t>
      </w:r>
      <w:r w:rsidR="00514443" w:rsidRPr="00FD782A">
        <w:rPr>
          <w:rFonts w:ascii="Times New Roman" w:hAnsi="Times New Roman" w:cs="Times New Roman"/>
          <w:sz w:val="24"/>
          <w:szCs w:val="24"/>
        </w:rPr>
        <w:t>5</w:t>
      </w:r>
      <w:r w:rsidRPr="00FD782A">
        <w:rPr>
          <w:rFonts w:ascii="Times New Roman" w:hAnsi="Times New Roman" w:cs="Times New Roman"/>
          <w:sz w:val="24"/>
          <w:szCs w:val="24"/>
        </w:rPr>
        <w:t>. THREE WAY VALVE</w:t>
      </w:r>
    </w:p>
    <w:p w:rsidR="00F968E5" w:rsidRPr="00FD782A" w:rsidRDefault="00F968E5" w:rsidP="001C1759">
      <w:pPr>
        <w:spacing w:line="360" w:lineRule="auto"/>
        <w:ind w:firstLine="720"/>
        <w:jc w:val="both"/>
        <w:rPr>
          <w:rFonts w:ascii="Times New Roman" w:hAnsi="Times New Roman" w:cs="Times New Roman"/>
          <w:sz w:val="24"/>
          <w:szCs w:val="24"/>
        </w:rPr>
      </w:pPr>
      <w:r w:rsidRPr="00FD782A">
        <w:rPr>
          <w:rFonts w:ascii="Times New Roman" w:hAnsi="Times New Roman" w:cs="Times New Roman"/>
          <w:sz w:val="24"/>
          <w:szCs w:val="24"/>
        </w:rPr>
        <w:t>6. EXHAUST PIPE</w:t>
      </w:r>
      <w:r w:rsidR="001C1759" w:rsidRPr="00FD782A">
        <w:rPr>
          <w:rFonts w:ascii="Times New Roman" w:hAnsi="Times New Roman" w:cs="Times New Roman"/>
          <w:sz w:val="24"/>
          <w:szCs w:val="24"/>
        </w:rPr>
        <w:t xml:space="preserve">  </w:t>
      </w:r>
      <w:r w:rsidR="006474C3" w:rsidRPr="00FD782A">
        <w:rPr>
          <w:rFonts w:ascii="Times New Roman" w:hAnsi="Times New Roman" w:cs="Times New Roman"/>
          <w:sz w:val="24"/>
          <w:szCs w:val="24"/>
        </w:rPr>
        <w:t xml:space="preserve"> </w:t>
      </w:r>
      <w:r w:rsidRPr="00FD782A">
        <w:rPr>
          <w:rFonts w:ascii="Times New Roman" w:hAnsi="Times New Roman" w:cs="Times New Roman"/>
          <w:sz w:val="24"/>
          <w:szCs w:val="24"/>
        </w:rPr>
        <w:t>7. PROBE</w:t>
      </w:r>
      <w:r w:rsidR="006474C3" w:rsidRPr="00FD782A">
        <w:rPr>
          <w:rFonts w:ascii="Times New Roman" w:hAnsi="Times New Roman" w:cs="Times New Roman"/>
          <w:sz w:val="24"/>
          <w:szCs w:val="24"/>
        </w:rPr>
        <w:t xml:space="preserve">  </w:t>
      </w:r>
      <w:r w:rsidRPr="00FD782A">
        <w:rPr>
          <w:rFonts w:ascii="Times New Roman" w:hAnsi="Times New Roman" w:cs="Times New Roman"/>
          <w:sz w:val="24"/>
          <w:szCs w:val="24"/>
        </w:rPr>
        <w:t>8. EXHAUST GAS ANALYSER</w:t>
      </w:r>
      <w:r w:rsidR="006474C3" w:rsidRPr="00FD782A">
        <w:rPr>
          <w:rFonts w:ascii="Times New Roman" w:hAnsi="Times New Roman" w:cs="Times New Roman"/>
          <w:sz w:val="24"/>
          <w:szCs w:val="24"/>
        </w:rPr>
        <w:t xml:space="preserve">  </w:t>
      </w:r>
      <w:r w:rsidRPr="00FD782A">
        <w:rPr>
          <w:rFonts w:ascii="Times New Roman" w:hAnsi="Times New Roman" w:cs="Times New Roman"/>
          <w:sz w:val="24"/>
          <w:szCs w:val="24"/>
        </w:rPr>
        <w:t>9. ALTERNATIVE FUEL TANK</w:t>
      </w:r>
    </w:p>
    <w:p w:rsidR="00F968E5" w:rsidRPr="00FD782A" w:rsidRDefault="00F968E5" w:rsidP="001C1759">
      <w:pPr>
        <w:spacing w:line="360" w:lineRule="auto"/>
        <w:ind w:firstLine="720"/>
        <w:jc w:val="both"/>
        <w:rPr>
          <w:rFonts w:ascii="Times New Roman" w:hAnsi="Times New Roman" w:cs="Times New Roman"/>
          <w:sz w:val="24"/>
          <w:szCs w:val="24"/>
        </w:rPr>
      </w:pPr>
      <w:r w:rsidRPr="00FD782A">
        <w:rPr>
          <w:rFonts w:ascii="Times New Roman" w:hAnsi="Times New Roman" w:cs="Times New Roman"/>
          <w:sz w:val="24"/>
          <w:szCs w:val="24"/>
        </w:rPr>
        <w:t>10. BURETTE</w:t>
      </w:r>
      <w:r w:rsidR="006474C3" w:rsidRPr="00FD782A">
        <w:rPr>
          <w:rFonts w:ascii="Times New Roman" w:hAnsi="Times New Roman" w:cs="Times New Roman"/>
          <w:sz w:val="24"/>
          <w:szCs w:val="24"/>
        </w:rPr>
        <w:t xml:space="preserve">     </w:t>
      </w:r>
      <w:r w:rsidRPr="00FD782A">
        <w:rPr>
          <w:rFonts w:ascii="Times New Roman" w:hAnsi="Times New Roman" w:cs="Times New Roman"/>
          <w:sz w:val="24"/>
          <w:szCs w:val="24"/>
        </w:rPr>
        <w:t>11. THREE WAY VALVE     12. CONTROL PANEL</w:t>
      </w:r>
    </w:p>
    <w:p w:rsidR="00EE0AEC" w:rsidRPr="00FD782A" w:rsidRDefault="00FA117A" w:rsidP="00EE0AEC">
      <w:pPr>
        <w:widowControl w:val="0"/>
        <w:autoSpaceDE w:val="0"/>
        <w:autoSpaceDN w:val="0"/>
        <w:adjustRightInd w:val="0"/>
        <w:spacing w:after="0" w:line="236" w:lineRule="exact"/>
        <w:rPr>
          <w:rFonts w:ascii="Times New Roman" w:hAnsi="Times New Roman" w:cs="Times New Roman"/>
          <w:b/>
          <w:bCs/>
          <w:sz w:val="24"/>
          <w:szCs w:val="24"/>
        </w:rPr>
      </w:pPr>
      <w:r w:rsidRPr="00FD782A">
        <w:rPr>
          <w:rFonts w:ascii="Times New Roman" w:hAnsi="Times New Roman" w:cs="Times New Roman"/>
          <w:b/>
          <w:bCs/>
          <w:sz w:val="24"/>
          <w:szCs w:val="24"/>
        </w:rPr>
        <w:lastRenderedPageBreak/>
        <w:t>5</w:t>
      </w:r>
      <w:r w:rsidR="00EE0AEC" w:rsidRPr="00FD782A">
        <w:rPr>
          <w:rFonts w:ascii="Times New Roman" w:hAnsi="Times New Roman" w:cs="Times New Roman"/>
          <w:b/>
          <w:bCs/>
          <w:sz w:val="24"/>
          <w:szCs w:val="24"/>
        </w:rPr>
        <w:t>. Experimental Procedure</w:t>
      </w:r>
    </w:p>
    <w:p w:rsidR="00457006" w:rsidRPr="00FD782A" w:rsidRDefault="00457006" w:rsidP="00EE0AEC">
      <w:pPr>
        <w:widowControl w:val="0"/>
        <w:autoSpaceDE w:val="0"/>
        <w:autoSpaceDN w:val="0"/>
        <w:adjustRightInd w:val="0"/>
        <w:spacing w:after="0" w:line="236" w:lineRule="exact"/>
        <w:rPr>
          <w:rFonts w:ascii="Times New Roman" w:hAnsi="Times New Roman" w:cs="Times New Roman"/>
          <w:sz w:val="24"/>
          <w:szCs w:val="24"/>
        </w:rPr>
      </w:pPr>
    </w:p>
    <w:p w:rsidR="00EE0AEC" w:rsidRPr="00FD782A" w:rsidRDefault="00EE0AEC" w:rsidP="00EE0AEC">
      <w:pPr>
        <w:widowControl w:val="0"/>
        <w:autoSpaceDE w:val="0"/>
        <w:autoSpaceDN w:val="0"/>
        <w:adjustRightInd w:val="0"/>
        <w:spacing w:after="0" w:line="172" w:lineRule="exact"/>
        <w:rPr>
          <w:rFonts w:ascii="Times New Roman" w:hAnsi="Times New Roman" w:cs="Times New Roman"/>
          <w:sz w:val="24"/>
          <w:szCs w:val="24"/>
        </w:rPr>
      </w:pPr>
    </w:p>
    <w:p w:rsidR="00BA1529" w:rsidRPr="00FD782A" w:rsidRDefault="00EE0AEC" w:rsidP="00BA1529">
      <w:pPr>
        <w:spacing w:line="360" w:lineRule="auto"/>
        <w:ind w:firstLine="720"/>
        <w:jc w:val="both"/>
        <w:rPr>
          <w:rFonts w:ascii="Times New Roman" w:hAnsi="Times New Roman" w:cs="Times New Roman"/>
          <w:sz w:val="24"/>
          <w:szCs w:val="24"/>
        </w:rPr>
      </w:pPr>
      <w:r w:rsidRPr="00FD782A">
        <w:rPr>
          <w:rFonts w:ascii="Times New Roman" w:hAnsi="Times New Roman" w:cs="Times New Roman"/>
          <w:sz w:val="24"/>
          <w:szCs w:val="24"/>
        </w:rPr>
        <w:t xml:space="preserve"> </w:t>
      </w:r>
      <w:r w:rsidR="00BA1529" w:rsidRPr="00FD782A">
        <w:rPr>
          <w:rFonts w:ascii="Times New Roman" w:hAnsi="Times New Roman" w:cs="Times New Roman"/>
          <w:sz w:val="24"/>
          <w:szCs w:val="24"/>
        </w:rPr>
        <w:t>Before starting the engine, the fuel injector is separated from the fuel system. it is clamped on the fuel injection pressure tested and operates the tester pump. Observe the pressure reading from the dial. At which the injector starts spraying. In order to achieve the required pressure by adjusting the screw provided at the top of the injector .This procedure is repeated for obtaining the various required pressures.</w:t>
      </w:r>
    </w:p>
    <w:p w:rsidR="00EE0AEC" w:rsidRPr="00FD782A" w:rsidRDefault="00BA1529" w:rsidP="006474C3">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FD782A">
        <w:rPr>
          <w:rFonts w:ascii="Times New Roman" w:hAnsi="Times New Roman" w:cs="Times New Roman"/>
          <w:sz w:val="24"/>
          <w:szCs w:val="24"/>
        </w:rPr>
        <w:t>As first said, diesel alone is allowed to run the engine for about 30 min, so that it gets warmed up and steady running conditions are attained. Before starting the engine, the lubricating oil level in the engine is checked and it is also ensured that all moving and rotating parts are lubricated</w:t>
      </w:r>
    </w:p>
    <w:p w:rsidR="00EE0AEC" w:rsidRPr="00FD782A" w:rsidRDefault="00EE0AEC" w:rsidP="006474C3">
      <w:pPr>
        <w:widowControl w:val="0"/>
        <w:autoSpaceDE w:val="0"/>
        <w:autoSpaceDN w:val="0"/>
        <w:adjustRightInd w:val="0"/>
        <w:spacing w:after="0" w:line="360" w:lineRule="auto"/>
        <w:jc w:val="both"/>
        <w:rPr>
          <w:rFonts w:ascii="Times New Roman" w:hAnsi="Times New Roman" w:cs="Times New Roman"/>
          <w:b/>
          <w:bCs/>
          <w:sz w:val="24"/>
          <w:szCs w:val="24"/>
        </w:rPr>
      </w:pPr>
    </w:p>
    <w:p w:rsidR="00EE0AEC" w:rsidRPr="00FD782A" w:rsidRDefault="00FA117A" w:rsidP="00EE0AEC">
      <w:pPr>
        <w:widowControl w:val="0"/>
        <w:autoSpaceDE w:val="0"/>
        <w:autoSpaceDN w:val="0"/>
        <w:adjustRightInd w:val="0"/>
        <w:spacing w:after="0" w:line="240" w:lineRule="auto"/>
        <w:jc w:val="both"/>
        <w:rPr>
          <w:rFonts w:ascii="Times New Roman" w:hAnsi="Times New Roman" w:cs="Times New Roman"/>
          <w:b/>
          <w:bCs/>
          <w:sz w:val="24"/>
          <w:szCs w:val="24"/>
        </w:rPr>
      </w:pPr>
      <w:r w:rsidRPr="00FD782A">
        <w:rPr>
          <w:rFonts w:ascii="Times New Roman" w:hAnsi="Times New Roman" w:cs="Times New Roman"/>
          <w:b/>
          <w:bCs/>
          <w:sz w:val="24"/>
          <w:szCs w:val="24"/>
        </w:rPr>
        <w:t>6</w:t>
      </w:r>
      <w:r w:rsidR="00EE0AEC" w:rsidRPr="00FD782A">
        <w:rPr>
          <w:rFonts w:ascii="Times New Roman" w:hAnsi="Times New Roman" w:cs="Times New Roman"/>
          <w:b/>
          <w:bCs/>
          <w:sz w:val="24"/>
          <w:szCs w:val="24"/>
        </w:rPr>
        <w:t xml:space="preserve">. RESULTS AND DISCUSSION </w:t>
      </w:r>
    </w:p>
    <w:p w:rsidR="002B4649" w:rsidRPr="00FD782A" w:rsidRDefault="00EE0AEC" w:rsidP="00EE0AEC">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FD782A">
        <w:rPr>
          <w:rFonts w:ascii="Times New Roman" w:hAnsi="Times New Roman" w:cs="Times New Roman"/>
          <w:b/>
          <w:bCs/>
          <w:sz w:val="24"/>
          <w:szCs w:val="24"/>
        </w:rPr>
        <w:t xml:space="preserve"> </w:t>
      </w:r>
    </w:p>
    <w:p w:rsidR="00EE0AEC" w:rsidRPr="00FD782A" w:rsidRDefault="00EE0AEC" w:rsidP="00FD782A">
      <w:pPr>
        <w:widowControl w:val="0"/>
        <w:autoSpaceDE w:val="0"/>
        <w:autoSpaceDN w:val="0"/>
        <w:adjustRightInd w:val="0"/>
        <w:spacing w:after="0" w:line="360" w:lineRule="auto"/>
        <w:ind w:firstLine="720"/>
        <w:jc w:val="both"/>
        <w:rPr>
          <w:rFonts w:ascii="Times New Roman" w:hAnsi="Times New Roman" w:cs="Times New Roman"/>
          <w:bCs/>
          <w:sz w:val="24"/>
          <w:szCs w:val="24"/>
        </w:rPr>
      </w:pPr>
      <w:r w:rsidRPr="00FD782A">
        <w:rPr>
          <w:rFonts w:ascii="Times New Roman" w:hAnsi="Times New Roman" w:cs="Times New Roman"/>
          <w:bCs/>
          <w:sz w:val="24"/>
          <w:szCs w:val="24"/>
        </w:rPr>
        <w:t>Based on the experimental data the graphs are drawn. These graphs show the variation in brake thermal efficiency, Brake specific fuel consumption (BSFC), Hydrocarbon (HC), Carbon monoxide (CO), Nitrogen oxides</w:t>
      </w:r>
      <w:r w:rsidR="00FD782A">
        <w:rPr>
          <w:rFonts w:ascii="Times New Roman" w:hAnsi="Times New Roman" w:cs="Times New Roman"/>
          <w:bCs/>
          <w:sz w:val="24"/>
          <w:szCs w:val="24"/>
        </w:rPr>
        <w:t xml:space="preserve"> </w:t>
      </w:r>
      <w:r w:rsidR="00FA2D9A" w:rsidRPr="00FD782A">
        <w:rPr>
          <w:rFonts w:ascii="Times New Roman" w:hAnsi="Times New Roman" w:cs="Times New Roman"/>
          <w:bCs/>
          <w:sz w:val="24"/>
          <w:szCs w:val="24"/>
        </w:rPr>
        <w:t>Carbon dioxide(CO2)</w:t>
      </w:r>
      <w:r w:rsidRPr="00FD782A">
        <w:rPr>
          <w:rFonts w:ascii="Times New Roman" w:hAnsi="Times New Roman" w:cs="Times New Roman"/>
          <w:bCs/>
          <w:sz w:val="24"/>
          <w:szCs w:val="24"/>
        </w:rPr>
        <w:t xml:space="preserve">  emission</w:t>
      </w:r>
      <w:r w:rsidR="00321812" w:rsidRPr="00FD782A">
        <w:rPr>
          <w:rFonts w:ascii="Times New Roman" w:hAnsi="Times New Roman" w:cs="Times New Roman"/>
          <w:bCs/>
          <w:sz w:val="24"/>
          <w:szCs w:val="24"/>
        </w:rPr>
        <w:t>s at various injection pressures.</w:t>
      </w:r>
    </w:p>
    <w:p w:rsidR="00EE0AEC" w:rsidRPr="00FD782A" w:rsidRDefault="00EE0AEC" w:rsidP="00EE0AEC">
      <w:pPr>
        <w:widowControl w:val="0"/>
        <w:autoSpaceDE w:val="0"/>
        <w:autoSpaceDN w:val="0"/>
        <w:adjustRightInd w:val="0"/>
        <w:spacing w:after="0" w:line="240" w:lineRule="auto"/>
        <w:ind w:firstLine="720"/>
        <w:jc w:val="both"/>
        <w:rPr>
          <w:rFonts w:ascii="Times New Roman" w:hAnsi="Times New Roman" w:cs="Times New Roman"/>
          <w:bCs/>
          <w:sz w:val="24"/>
          <w:szCs w:val="24"/>
        </w:rPr>
      </w:pPr>
    </w:p>
    <w:p w:rsidR="006474C3" w:rsidRPr="00FD782A" w:rsidRDefault="006474C3" w:rsidP="00234524">
      <w:pPr>
        <w:pStyle w:val="Default"/>
        <w:rPr>
          <w:b/>
          <w:bCs/>
        </w:rPr>
      </w:pPr>
    </w:p>
    <w:p w:rsidR="00234524" w:rsidRPr="00FD782A" w:rsidRDefault="00FA117A" w:rsidP="00234524">
      <w:pPr>
        <w:pStyle w:val="Default"/>
        <w:rPr>
          <w:b/>
          <w:bCs/>
        </w:rPr>
      </w:pPr>
      <w:r w:rsidRPr="00FD782A">
        <w:rPr>
          <w:b/>
          <w:bCs/>
        </w:rPr>
        <w:t>6</w:t>
      </w:r>
      <w:r w:rsidR="00EE0AEC" w:rsidRPr="00FD782A">
        <w:rPr>
          <w:b/>
          <w:bCs/>
        </w:rPr>
        <w:t xml:space="preserve">.1 SPECIFIC FUEL CONSUMPTION </w:t>
      </w:r>
    </w:p>
    <w:p w:rsidR="008B0E37" w:rsidRPr="00FD782A" w:rsidRDefault="008B0E37" w:rsidP="00234524">
      <w:pPr>
        <w:pStyle w:val="Default"/>
        <w:ind w:firstLine="720"/>
        <w:rPr>
          <w:b/>
          <w:bCs/>
        </w:rPr>
      </w:pPr>
    </w:p>
    <w:p w:rsidR="004F354A" w:rsidRPr="00FD782A" w:rsidRDefault="00234524" w:rsidP="006474C3">
      <w:pPr>
        <w:pStyle w:val="Default"/>
        <w:spacing w:line="360" w:lineRule="auto"/>
        <w:ind w:firstLine="720"/>
        <w:rPr>
          <w:b/>
          <w:bCs/>
        </w:rPr>
      </w:pPr>
      <w:r w:rsidRPr="00FD782A">
        <w:rPr>
          <w:rFonts w:eastAsia="Times New Roman"/>
        </w:rPr>
        <w:t xml:space="preserve"> </w:t>
      </w:r>
      <w:r w:rsidR="00177B05" w:rsidRPr="00FD782A">
        <w:t>From Figure 3</w:t>
      </w:r>
      <w:r w:rsidR="002B2C00" w:rsidRPr="00FD782A">
        <w:t xml:space="preserve"> </w:t>
      </w:r>
      <w:r w:rsidRPr="00FD782A">
        <w:t xml:space="preserve"> it may be observed that as injection pressure increases brake specific fuel consumption decreases. The injector was set for different opening pressures namely 180 bar, 200 bar and 220 bar and the engine was tested. A glance on the figure reveals that BSFC decreases with increase in injection pressure and at 180 , 200 and 220  bar Honne oil- Diesel blend shows the decrease in BSFC.  This may be due to good atomization at higher injection pressure which helps in faster rate of heat release.</w:t>
      </w:r>
    </w:p>
    <w:p w:rsidR="004E49A3" w:rsidRPr="00FD782A" w:rsidRDefault="004E49A3" w:rsidP="00153CE2">
      <w:pPr>
        <w:pStyle w:val="Default"/>
        <w:ind w:firstLine="720"/>
        <w:jc w:val="both"/>
      </w:pPr>
    </w:p>
    <w:p w:rsidR="00C70AEF" w:rsidRPr="00FD782A" w:rsidRDefault="003065B7" w:rsidP="00C70AEF">
      <w:pPr>
        <w:widowControl w:val="0"/>
        <w:autoSpaceDE w:val="0"/>
        <w:autoSpaceDN w:val="0"/>
        <w:adjustRightInd w:val="0"/>
        <w:spacing w:after="0" w:line="240" w:lineRule="auto"/>
        <w:rPr>
          <w:rFonts w:ascii="Times New Roman" w:hAnsi="Times New Roman" w:cs="Times New Roman"/>
          <w:bCs/>
          <w:sz w:val="24"/>
          <w:szCs w:val="24"/>
        </w:rPr>
      </w:pPr>
      <w:r w:rsidRPr="00FD782A">
        <w:rPr>
          <w:rFonts w:ascii="Times New Roman" w:hAnsi="Times New Roman" w:cs="Times New Roman"/>
          <w:noProof/>
          <w:sz w:val="24"/>
          <w:szCs w:val="24"/>
        </w:rPr>
        <w:lastRenderedPageBreak/>
        <w:drawing>
          <wp:inline distT="0" distB="0" distL="0" distR="0">
            <wp:extent cx="5476875" cy="2531110"/>
            <wp:effectExtent l="19050" t="0" r="9525" b="2540"/>
            <wp:docPr id="10"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4695" w:rsidRPr="00FD782A" w:rsidRDefault="00174695" w:rsidP="00FA01A9">
      <w:pPr>
        <w:widowControl w:val="0"/>
        <w:autoSpaceDE w:val="0"/>
        <w:autoSpaceDN w:val="0"/>
        <w:adjustRightInd w:val="0"/>
        <w:spacing w:after="0" w:line="240" w:lineRule="auto"/>
        <w:ind w:left="2160" w:firstLine="720"/>
        <w:rPr>
          <w:rFonts w:ascii="Times New Roman" w:hAnsi="Times New Roman" w:cs="Times New Roman"/>
          <w:bCs/>
          <w:sz w:val="24"/>
          <w:szCs w:val="24"/>
        </w:rPr>
      </w:pPr>
    </w:p>
    <w:p w:rsidR="00174695" w:rsidRPr="00FD782A" w:rsidRDefault="00174695" w:rsidP="00FA01A9">
      <w:pPr>
        <w:widowControl w:val="0"/>
        <w:autoSpaceDE w:val="0"/>
        <w:autoSpaceDN w:val="0"/>
        <w:adjustRightInd w:val="0"/>
        <w:spacing w:after="0" w:line="240" w:lineRule="auto"/>
        <w:ind w:left="2160" w:firstLine="720"/>
        <w:rPr>
          <w:rFonts w:ascii="Times New Roman" w:hAnsi="Times New Roman" w:cs="Times New Roman"/>
          <w:bCs/>
          <w:sz w:val="24"/>
          <w:szCs w:val="24"/>
        </w:rPr>
      </w:pPr>
    </w:p>
    <w:p w:rsidR="00FD782A" w:rsidRDefault="00FD782A" w:rsidP="00FD782A">
      <w:pPr>
        <w:widowControl w:val="0"/>
        <w:autoSpaceDE w:val="0"/>
        <w:autoSpaceDN w:val="0"/>
        <w:adjustRightInd w:val="0"/>
        <w:spacing w:after="0" w:line="240" w:lineRule="auto"/>
        <w:ind w:left="2160" w:firstLine="720"/>
        <w:rPr>
          <w:rFonts w:ascii="Times New Roman" w:hAnsi="Times New Roman" w:cs="Times New Roman"/>
          <w:bCs/>
          <w:sz w:val="24"/>
          <w:szCs w:val="24"/>
        </w:rPr>
      </w:pPr>
    </w:p>
    <w:p w:rsidR="00D71953" w:rsidRPr="00FD782A" w:rsidRDefault="007B00C1" w:rsidP="00FD782A">
      <w:pPr>
        <w:widowControl w:val="0"/>
        <w:autoSpaceDE w:val="0"/>
        <w:autoSpaceDN w:val="0"/>
        <w:adjustRightInd w:val="0"/>
        <w:spacing w:after="0" w:line="240" w:lineRule="auto"/>
        <w:ind w:left="2160" w:firstLine="720"/>
        <w:rPr>
          <w:rFonts w:ascii="Times New Roman" w:hAnsi="Times New Roman" w:cs="Times New Roman"/>
          <w:bCs/>
          <w:sz w:val="24"/>
          <w:szCs w:val="24"/>
        </w:rPr>
      </w:pPr>
      <w:r w:rsidRPr="00FD782A">
        <w:rPr>
          <w:rFonts w:ascii="Times New Roman" w:hAnsi="Times New Roman" w:cs="Times New Roman"/>
          <w:bCs/>
          <w:sz w:val="24"/>
          <w:szCs w:val="24"/>
        </w:rPr>
        <w:t>Fig 3</w:t>
      </w:r>
      <w:r w:rsidR="00C572CD" w:rsidRPr="00FD782A">
        <w:rPr>
          <w:rFonts w:ascii="Times New Roman" w:hAnsi="Times New Roman" w:cs="Times New Roman"/>
          <w:bCs/>
          <w:sz w:val="24"/>
          <w:szCs w:val="24"/>
        </w:rPr>
        <w:t xml:space="preserve"> </w:t>
      </w:r>
      <w:r w:rsidR="00D0245C" w:rsidRPr="00FD782A">
        <w:rPr>
          <w:rFonts w:ascii="Times New Roman" w:hAnsi="Times New Roman" w:cs="Times New Roman"/>
          <w:bCs/>
          <w:sz w:val="24"/>
          <w:szCs w:val="24"/>
        </w:rPr>
        <w:t xml:space="preserve"> S</w:t>
      </w:r>
      <w:r w:rsidR="00C52D9C" w:rsidRPr="00FD782A">
        <w:rPr>
          <w:rFonts w:ascii="Times New Roman" w:hAnsi="Times New Roman" w:cs="Times New Roman"/>
          <w:bCs/>
          <w:sz w:val="24"/>
          <w:szCs w:val="24"/>
        </w:rPr>
        <w:t>pec</w:t>
      </w:r>
      <w:r w:rsidRPr="00FD782A">
        <w:rPr>
          <w:rFonts w:ascii="Times New Roman" w:hAnsi="Times New Roman" w:cs="Times New Roman"/>
          <w:bCs/>
          <w:sz w:val="24"/>
          <w:szCs w:val="24"/>
        </w:rPr>
        <w:t>ific fuel consumption (Diesel</w:t>
      </w:r>
      <w:r w:rsidR="00C52D9C" w:rsidRPr="00FD782A">
        <w:rPr>
          <w:rFonts w:ascii="Times New Roman" w:hAnsi="Times New Roman" w:cs="Times New Roman"/>
          <w:bCs/>
          <w:sz w:val="24"/>
          <w:szCs w:val="24"/>
        </w:rPr>
        <w:t>) Vs Load</w:t>
      </w:r>
    </w:p>
    <w:p w:rsidR="00D71953" w:rsidRPr="00FD782A" w:rsidRDefault="00D71953" w:rsidP="00FA01A9">
      <w:pPr>
        <w:widowControl w:val="0"/>
        <w:autoSpaceDE w:val="0"/>
        <w:autoSpaceDN w:val="0"/>
        <w:adjustRightInd w:val="0"/>
        <w:spacing w:after="0" w:line="240" w:lineRule="auto"/>
        <w:ind w:left="2160" w:firstLine="720"/>
        <w:rPr>
          <w:rFonts w:ascii="Times New Roman" w:hAnsi="Times New Roman" w:cs="Times New Roman"/>
          <w:bCs/>
          <w:sz w:val="24"/>
          <w:szCs w:val="24"/>
        </w:rPr>
      </w:pPr>
    </w:p>
    <w:p w:rsidR="00D71953" w:rsidRPr="00FD782A" w:rsidRDefault="00D71953" w:rsidP="00FA01A9">
      <w:pPr>
        <w:widowControl w:val="0"/>
        <w:autoSpaceDE w:val="0"/>
        <w:autoSpaceDN w:val="0"/>
        <w:adjustRightInd w:val="0"/>
        <w:spacing w:after="0" w:line="240" w:lineRule="auto"/>
        <w:ind w:left="2160" w:firstLine="720"/>
        <w:rPr>
          <w:rFonts w:ascii="Times New Roman" w:hAnsi="Times New Roman" w:cs="Times New Roman"/>
          <w:bCs/>
          <w:sz w:val="24"/>
          <w:szCs w:val="24"/>
        </w:rPr>
      </w:pPr>
    </w:p>
    <w:p w:rsidR="004328E8" w:rsidRPr="00FD782A" w:rsidRDefault="007B00C1" w:rsidP="00FA01A9">
      <w:pPr>
        <w:widowControl w:val="0"/>
        <w:autoSpaceDE w:val="0"/>
        <w:autoSpaceDN w:val="0"/>
        <w:adjustRightInd w:val="0"/>
        <w:spacing w:after="0" w:line="240" w:lineRule="auto"/>
        <w:ind w:left="2160" w:firstLine="720"/>
        <w:rPr>
          <w:rFonts w:ascii="Times New Roman" w:hAnsi="Times New Roman" w:cs="Times New Roman"/>
          <w:bCs/>
          <w:sz w:val="24"/>
          <w:szCs w:val="24"/>
        </w:rPr>
      </w:pPr>
      <w:r w:rsidRPr="00FD782A">
        <w:rPr>
          <w:rFonts w:ascii="Times New Roman" w:hAnsi="Times New Roman" w:cs="Times New Roman"/>
          <w:bCs/>
          <w:sz w:val="24"/>
          <w:szCs w:val="24"/>
        </w:rPr>
        <w:t xml:space="preserve">            </w:t>
      </w:r>
    </w:p>
    <w:p w:rsidR="00B50054" w:rsidRPr="00FD782A" w:rsidRDefault="00FA117A" w:rsidP="00B50054">
      <w:pPr>
        <w:pStyle w:val="Default"/>
        <w:rPr>
          <w:b/>
          <w:bCs/>
        </w:rPr>
      </w:pPr>
      <w:r w:rsidRPr="00FD782A">
        <w:rPr>
          <w:b/>
          <w:bCs/>
        </w:rPr>
        <w:t>6</w:t>
      </w:r>
      <w:r w:rsidR="00B50054" w:rsidRPr="00FD782A">
        <w:rPr>
          <w:b/>
          <w:bCs/>
        </w:rPr>
        <w:t>.2 BRAKE THERMAL EFFICIENCY</w:t>
      </w:r>
    </w:p>
    <w:p w:rsidR="002D7FF5" w:rsidRPr="00FD782A" w:rsidRDefault="006E03C7" w:rsidP="00803113">
      <w:pPr>
        <w:widowControl w:val="0"/>
        <w:autoSpaceDE w:val="0"/>
        <w:autoSpaceDN w:val="0"/>
        <w:adjustRightInd w:val="0"/>
        <w:spacing w:after="0" w:line="240" w:lineRule="auto"/>
        <w:rPr>
          <w:rFonts w:ascii="Times New Roman" w:eastAsia="Times New Roman" w:hAnsi="Times New Roman" w:cs="Times New Roman"/>
          <w:sz w:val="24"/>
          <w:szCs w:val="24"/>
        </w:rPr>
      </w:pPr>
      <w:r w:rsidRPr="00FD782A">
        <w:rPr>
          <w:rFonts w:ascii="Times New Roman" w:eastAsia="Times New Roman" w:hAnsi="Times New Roman" w:cs="Times New Roman"/>
          <w:sz w:val="24"/>
          <w:szCs w:val="24"/>
        </w:rPr>
        <w:t xml:space="preserve">              </w:t>
      </w:r>
    </w:p>
    <w:p w:rsidR="00B50054" w:rsidRPr="00FD782A" w:rsidRDefault="006E03C7" w:rsidP="006474C3">
      <w:pPr>
        <w:widowControl w:val="0"/>
        <w:autoSpaceDE w:val="0"/>
        <w:autoSpaceDN w:val="0"/>
        <w:adjustRightInd w:val="0"/>
        <w:spacing w:after="0" w:line="360" w:lineRule="auto"/>
        <w:ind w:firstLine="720"/>
        <w:rPr>
          <w:rFonts w:ascii="Times New Roman" w:hAnsi="Times New Roman" w:cs="Times New Roman"/>
          <w:noProof/>
          <w:sz w:val="24"/>
          <w:szCs w:val="24"/>
        </w:rPr>
      </w:pPr>
      <w:r w:rsidRPr="00FD782A">
        <w:rPr>
          <w:rFonts w:ascii="Times New Roman" w:eastAsia="Times New Roman" w:hAnsi="Times New Roman" w:cs="Times New Roman"/>
          <w:sz w:val="24"/>
          <w:szCs w:val="24"/>
        </w:rPr>
        <w:t xml:space="preserve"> The variation of brake thermal efficiency with respect to load for Honne oil-Diesel blends at various pressures </w:t>
      </w:r>
      <w:r w:rsidR="00177B05" w:rsidRPr="00FD782A">
        <w:rPr>
          <w:rFonts w:ascii="Times New Roman" w:eastAsia="Times New Roman" w:hAnsi="Times New Roman" w:cs="Times New Roman"/>
          <w:sz w:val="24"/>
          <w:szCs w:val="24"/>
        </w:rPr>
        <w:t>is shown in fig4</w:t>
      </w:r>
      <w:r w:rsidRPr="00FD782A">
        <w:rPr>
          <w:rFonts w:ascii="Times New Roman" w:eastAsia="Times New Roman" w:hAnsi="Times New Roman" w:cs="Times New Roman"/>
          <w:sz w:val="24"/>
          <w:szCs w:val="24"/>
        </w:rPr>
        <w:t>. For all the readings of diesel  fuels and blends at various injection pressures the brake thermal efficiency increases with respect to various  loads. The brake thermal efficiency values at full load are 17.63% , 18.05% and 18.27% for B50 at 180 , 200 and 220 bar. The brake thermal efficiency  values at full load are of  15.17% ,15.51% and 15.76% for Diesel at 180, 200 and 220 bar are  decrease to the brake thermal efficiencies of diesel at various  loads.</w:t>
      </w:r>
    </w:p>
    <w:p w:rsidR="0087280A" w:rsidRPr="00FD782A" w:rsidRDefault="0087280A" w:rsidP="006474C3">
      <w:pPr>
        <w:widowControl w:val="0"/>
        <w:autoSpaceDE w:val="0"/>
        <w:autoSpaceDN w:val="0"/>
        <w:adjustRightInd w:val="0"/>
        <w:spacing w:after="0" w:line="360" w:lineRule="auto"/>
        <w:rPr>
          <w:rFonts w:ascii="Times New Roman" w:hAnsi="Times New Roman" w:cs="Times New Roman"/>
          <w:noProof/>
          <w:sz w:val="24"/>
          <w:szCs w:val="24"/>
        </w:rPr>
      </w:pPr>
    </w:p>
    <w:p w:rsidR="008D63C4" w:rsidRPr="00FD782A" w:rsidRDefault="008D63C4" w:rsidP="00803113">
      <w:pPr>
        <w:widowControl w:val="0"/>
        <w:autoSpaceDE w:val="0"/>
        <w:autoSpaceDN w:val="0"/>
        <w:adjustRightInd w:val="0"/>
        <w:spacing w:after="0" w:line="240" w:lineRule="auto"/>
        <w:rPr>
          <w:rFonts w:ascii="Times New Roman" w:hAnsi="Times New Roman" w:cs="Times New Roman"/>
          <w:sz w:val="24"/>
          <w:szCs w:val="24"/>
        </w:rPr>
      </w:pPr>
      <w:r w:rsidRPr="00FD782A">
        <w:rPr>
          <w:rFonts w:ascii="Times New Roman" w:hAnsi="Times New Roman" w:cs="Times New Roman"/>
          <w:noProof/>
          <w:sz w:val="24"/>
          <w:szCs w:val="24"/>
        </w:rPr>
        <w:lastRenderedPageBreak/>
        <w:drawing>
          <wp:inline distT="0" distB="0" distL="0" distR="0">
            <wp:extent cx="5600700" cy="2647950"/>
            <wp:effectExtent l="19050" t="0" r="190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0054" w:rsidRPr="00FD782A" w:rsidRDefault="00B50054" w:rsidP="00B50054">
      <w:pPr>
        <w:widowControl w:val="0"/>
        <w:autoSpaceDE w:val="0"/>
        <w:autoSpaceDN w:val="0"/>
        <w:adjustRightInd w:val="0"/>
        <w:spacing w:after="0" w:line="240" w:lineRule="auto"/>
        <w:jc w:val="both"/>
        <w:rPr>
          <w:rFonts w:ascii="Times New Roman" w:hAnsi="Times New Roman" w:cs="Times New Roman"/>
          <w:sz w:val="24"/>
          <w:szCs w:val="24"/>
        </w:rPr>
      </w:pPr>
    </w:p>
    <w:p w:rsidR="002260AC" w:rsidRPr="00FD782A" w:rsidRDefault="002260AC" w:rsidP="00C47284">
      <w:pPr>
        <w:widowControl w:val="0"/>
        <w:autoSpaceDE w:val="0"/>
        <w:autoSpaceDN w:val="0"/>
        <w:adjustRightInd w:val="0"/>
        <w:spacing w:after="0" w:line="240" w:lineRule="auto"/>
        <w:ind w:left="2160" w:firstLine="720"/>
        <w:jc w:val="both"/>
        <w:rPr>
          <w:rFonts w:ascii="Times New Roman" w:hAnsi="Times New Roman" w:cs="Times New Roman"/>
          <w:bCs/>
          <w:sz w:val="24"/>
          <w:szCs w:val="24"/>
        </w:rPr>
      </w:pPr>
    </w:p>
    <w:p w:rsidR="00DC2BCD" w:rsidRPr="00FD782A" w:rsidRDefault="00177B05" w:rsidP="00C47284">
      <w:pPr>
        <w:widowControl w:val="0"/>
        <w:autoSpaceDE w:val="0"/>
        <w:autoSpaceDN w:val="0"/>
        <w:adjustRightInd w:val="0"/>
        <w:spacing w:after="0" w:line="240" w:lineRule="auto"/>
        <w:ind w:left="2160" w:firstLine="720"/>
        <w:jc w:val="both"/>
        <w:rPr>
          <w:rFonts w:ascii="Times New Roman" w:hAnsi="Times New Roman" w:cs="Times New Roman"/>
          <w:sz w:val="24"/>
          <w:szCs w:val="24"/>
        </w:rPr>
      </w:pPr>
      <w:r w:rsidRPr="00FD782A">
        <w:rPr>
          <w:rFonts w:ascii="Times New Roman" w:hAnsi="Times New Roman" w:cs="Times New Roman"/>
          <w:bCs/>
          <w:sz w:val="24"/>
          <w:szCs w:val="24"/>
        </w:rPr>
        <w:t>Fig 4</w:t>
      </w:r>
      <w:r w:rsidR="00B50054" w:rsidRPr="00FD782A">
        <w:rPr>
          <w:rFonts w:ascii="Times New Roman" w:hAnsi="Times New Roman" w:cs="Times New Roman"/>
          <w:bCs/>
          <w:sz w:val="24"/>
          <w:szCs w:val="24"/>
        </w:rPr>
        <w:t xml:space="preserve"> </w:t>
      </w:r>
      <w:r w:rsidR="00E90C75" w:rsidRPr="00FD782A">
        <w:rPr>
          <w:rFonts w:ascii="Times New Roman" w:hAnsi="Times New Roman" w:cs="Times New Roman"/>
          <w:bCs/>
          <w:sz w:val="24"/>
          <w:szCs w:val="24"/>
        </w:rPr>
        <w:t xml:space="preserve"> </w:t>
      </w:r>
      <w:r w:rsidR="00B50054" w:rsidRPr="00FD782A">
        <w:rPr>
          <w:rFonts w:ascii="Times New Roman" w:hAnsi="Times New Roman" w:cs="Times New Roman"/>
          <w:bCs/>
          <w:sz w:val="24"/>
          <w:szCs w:val="24"/>
        </w:rPr>
        <w:t>Brake thermal efficiency (Diesel) Vs Load</w:t>
      </w:r>
      <w:r w:rsidR="000F54D2" w:rsidRPr="00FD782A">
        <w:rPr>
          <w:rFonts w:ascii="Times New Roman" w:hAnsi="Times New Roman" w:cs="Times New Roman"/>
          <w:bCs/>
          <w:sz w:val="24"/>
          <w:szCs w:val="24"/>
        </w:rPr>
        <w:t xml:space="preserve"> </w:t>
      </w:r>
      <w:r w:rsidR="000F54D2" w:rsidRPr="00FD782A">
        <w:rPr>
          <w:rFonts w:ascii="Times New Roman" w:hAnsi="Times New Roman" w:cs="Times New Roman"/>
          <w:bCs/>
          <w:sz w:val="24"/>
          <w:szCs w:val="24"/>
        </w:rPr>
        <w:tab/>
      </w:r>
      <w:r w:rsidR="000F54D2" w:rsidRPr="00FD782A">
        <w:rPr>
          <w:rFonts w:ascii="Times New Roman" w:hAnsi="Times New Roman" w:cs="Times New Roman"/>
          <w:bCs/>
          <w:sz w:val="24"/>
          <w:szCs w:val="24"/>
        </w:rPr>
        <w:tab/>
      </w:r>
    </w:p>
    <w:p w:rsidR="003A0FF4" w:rsidRPr="00FD782A" w:rsidRDefault="003A0FF4" w:rsidP="00B50054">
      <w:pPr>
        <w:pStyle w:val="Default"/>
        <w:rPr>
          <w:b/>
          <w:bCs/>
        </w:rPr>
      </w:pPr>
    </w:p>
    <w:p w:rsidR="002260AC" w:rsidRPr="00FD782A" w:rsidRDefault="002260AC" w:rsidP="00B50054">
      <w:pPr>
        <w:pStyle w:val="Default"/>
        <w:rPr>
          <w:b/>
          <w:bCs/>
        </w:rPr>
      </w:pPr>
    </w:p>
    <w:p w:rsidR="002260AC" w:rsidRPr="00FD782A" w:rsidRDefault="002260AC" w:rsidP="00B50054">
      <w:pPr>
        <w:pStyle w:val="Default"/>
        <w:rPr>
          <w:b/>
          <w:bCs/>
        </w:rPr>
      </w:pPr>
    </w:p>
    <w:p w:rsidR="00B50054" w:rsidRPr="00FD782A" w:rsidRDefault="00FA117A" w:rsidP="00B50054">
      <w:pPr>
        <w:pStyle w:val="Default"/>
        <w:rPr>
          <w:b/>
          <w:bCs/>
        </w:rPr>
      </w:pPr>
      <w:r w:rsidRPr="00FD782A">
        <w:rPr>
          <w:b/>
          <w:bCs/>
        </w:rPr>
        <w:t>6</w:t>
      </w:r>
      <w:r w:rsidR="00B50054" w:rsidRPr="00FD782A">
        <w:rPr>
          <w:b/>
          <w:bCs/>
        </w:rPr>
        <w:t>.3 HYDROCARBON EMISSION</w:t>
      </w:r>
    </w:p>
    <w:p w:rsidR="009978CE" w:rsidRPr="00FD782A" w:rsidRDefault="009978CE" w:rsidP="009978CE">
      <w:pPr>
        <w:pStyle w:val="Default"/>
        <w:ind w:firstLine="720"/>
        <w:jc w:val="both"/>
      </w:pPr>
    </w:p>
    <w:p w:rsidR="00E26562" w:rsidRPr="00FD782A" w:rsidRDefault="004D3CA3" w:rsidP="00FD782A">
      <w:pPr>
        <w:pStyle w:val="Default"/>
        <w:spacing w:line="360" w:lineRule="auto"/>
        <w:ind w:firstLine="720"/>
        <w:jc w:val="both"/>
      </w:pPr>
      <w:r w:rsidRPr="00FD782A">
        <w:t xml:space="preserve">Figure </w:t>
      </w:r>
      <w:r w:rsidR="007647D4" w:rsidRPr="00FD782A">
        <w:t>5</w:t>
      </w:r>
      <w:r w:rsidR="00C144F0" w:rsidRPr="00FD782A">
        <w:t>.</w:t>
      </w:r>
      <w:r w:rsidR="00772BF2" w:rsidRPr="00FD782A">
        <w:t xml:space="preserve"> </w:t>
      </w:r>
      <w:r w:rsidRPr="00FD782A">
        <w:t>shows the variation of hydrocarbon (HC) emission with fuel injection pressure for diesel mode and B50 mode at full load condition. It may be observed from the figure that HC emission for B50 mode of operation is lesser compared to diesel mode of operation at all fuel injection pressure conditions considered. This may be due to the charge in temperature, change in properties of the fuel, air-fuel ratio.</w:t>
      </w:r>
    </w:p>
    <w:p w:rsidR="004D3CA3" w:rsidRPr="00FD782A" w:rsidRDefault="004D3CA3" w:rsidP="006474C3">
      <w:pPr>
        <w:pStyle w:val="Default"/>
        <w:spacing w:line="360" w:lineRule="auto"/>
        <w:jc w:val="both"/>
        <w:rPr>
          <w:b/>
          <w:bCs/>
        </w:rPr>
      </w:pPr>
    </w:p>
    <w:p w:rsidR="00B606B0" w:rsidRPr="00FD782A" w:rsidRDefault="00854D3C" w:rsidP="00B606B0">
      <w:pPr>
        <w:pStyle w:val="Default"/>
        <w:jc w:val="both"/>
        <w:rPr>
          <w:b/>
          <w:bCs/>
        </w:rPr>
      </w:pPr>
      <w:r w:rsidRPr="00FD782A">
        <w:rPr>
          <w:b/>
          <w:bCs/>
          <w:noProof/>
        </w:rPr>
        <w:lastRenderedPageBreak/>
        <w:drawing>
          <wp:inline distT="0" distB="0" distL="0" distR="0">
            <wp:extent cx="5648325" cy="238125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2606" w:rsidRPr="00FD782A" w:rsidRDefault="00F62606" w:rsidP="00F62606">
      <w:pPr>
        <w:pStyle w:val="Default"/>
        <w:jc w:val="both"/>
        <w:rPr>
          <w:bCs/>
        </w:rPr>
      </w:pPr>
    </w:p>
    <w:p w:rsidR="006823B2" w:rsidRPr="00FD782A" w:rsidRDefault="006823B2" w:rsidP="00762033">
      <w:pPr>
        <w:pStyle w:val="Default"/>
        <w:ind w:left="2880" w:firstLine="720"/>
        <w:rPr>
          <w:bCs/>
        </w:rPr>
      </w:pPr>
    </w:p>
    <w:p w:rsidR="00E158FE" w:rsidRPr="00FD782A" w:rsidRDefault="00F13F35" w:rsidP="00762033">
      <w:pPr>
        <w:pStyle w:val="Default"/>
        <w:ind w:left="2880" w:firstLine="720"/>
      </w:pPr>
      <w:r w:rsidRPr="00FD782A">
        <w:rPr>
          <w:bCs/>
        </w:rPr>
        <w:t xml:space="preserve">Fig </w:t>
      </w:r>
      <w:r w:rsidR="007647D4" w:rsidRPr="00FD782A">
        <w:rPr>
          <w:bCs/>
        </w:rPr>
        <w:t>5</w:t>
      </w:r>
      <w:r w:rsidRPr="00FD782A">
        <w:rPr>
          <w:bCs/>
        </w:rPr>
        <w:t xml:space="preserve"> Hydro carbon (Diesel) Vs Load</w:t>
      </w:r>
    </w:p>
    <w:p w:rsidR="00F62606" w:rsidRPr="00FD782A" w:rsidRDefault="00F62606" w:rsidP="00F62606">
      <w:pPr>
        <w:widowControl w:val="0"/>
        <w:autoSpaceDE w:val="0"/>
        <w:autoSpaceDN w:val="0"/>
        <w:adjustRightInd w:val="0"/>
        <w:spacing w:after="0" w:line="239" w:lineRule="auto"/>
        <w:rPr>
          <w:rFonts w:ascii="Times New Roman" w:hAnsi="Times New Roman" w:cs="Times New Roman"/>
          <w:b/>
          <w:bCs/>
          <w:sz w:val="24"/>
          <w:szCs w:val="24"/>
        </w:rPr>
      </w:pPr>
    </w:p>
    <w:p w:rsidR="00B50054" w:rsidRPr="00FD782A" w:rsidRDefault="00FA117A" w:rsidP="00F62606">
      <w:pPr>
        <w:widowControl w:val="0"/>
        <w:autoSpaceDE w:val="0"/>
        <w:autoSpaceDN w:val="0"/>
        <w:adjustRightInd w:val="0"/>
        <w:spacing w:after="0" w:line="239" w:lineRule="auto"/>
        <w:rPr>
          <w:rFonts w:ascii="Times New Roman" w:hAnsi="Times New Roman" w:cs="Times New Roman"/>
          <w:b/>
          <w:bCs/>
          <w:sz w:val="24"/>
          <w:szCs w:val="24"/>
        </w:rPr>
      </w:pPr>
      <w:r w:rsidRPr="00FD782A">
        <w:rPr>
          <w:rFonts w:ascii="Times New Roman" w:hAnsi="Times New Roman" w:cs="Times New Roman"/>
          <w:b/>
          <w:bCs/>
          <w:sz w:val="24"/>
          <w:szCs w:val="24"/>
        </w:rPr>
        <w:t>6</w:t>
      </w:r>
      <w:r w:rsidR="00B50054" w:rsidRPr="00FD782A">
        <w:rPr>
          <w:rFonts w:ascii="Times New Roman" w:hAnsi="Times New Roman" w:cs="Times New Roman"/>
          <w:b/>
          <w:bCs/>
          <w:sz w:val="24"/>
          <w:szCs w:val="24"/>
        </w:rPr>
        <w:t>.4 CARBON MONOXIDE</w:t>
      </w:r>
    </w:p>
    <w:p w:rsidR="00600B2D" w:rsidRPr="00FD782A" w:rsidRDefault="005E41A3" w:rsidP="00F62606">
      <w:pPr>
        <w:widowControl w:val="0"/>
        <w:autoSpaceDE w:val="0"/>
        <w:autoSpaceDN w:val="0"/>
        <w:adjustRightInd w:val="0"/>
        <w:spacing w:after="0" w:line="239" w:lineRule="auto"/>
        <w:rPr>
          <w:rFonts w:ascii="Times New Roman" w:eastAsia="Times New Roman" w:hAnsi="Times New Roman" w:cs="Times New Roman"/>
          <w:sz w:val="24"/>
          <w:szCs w:val="24"/>
        </w:rPr>
      </w:pPr>
      <w:r w:rsidRPr="00FD782A">
        <w:rPr>
          <w:rFonts w:ascii="Times New Roman" w:eastAsia="Times New Roman" w:hAnsi="Times New Roman" w:cs="Times New Roman"/>
          <w:sz w:val="24"/>
          <w:szCs w:val="24"/>
        </w:rPr>
        <w:t xml:space="preserve">             </w:t>
      </w:r>
    </w:p>
    <w:p w:rsidR="005E41A3" w:rsidRPr="00FD782A" w:rsidRDefault="005E41A3" w:rsidP="006474C3">
      <w:pPr>
        <w:widowControl w:val="0"/>
        <w:autoSpaceDE w:val="0"/>
        <w:autoSpaceDN w:val="0"/>
        <w:adjustRightInd w:val="0"/>
        <w:spacing w:after="0" w:line="360" w:lineRule="auto"/>
        <w:ind w:firstLine="720"/>
        <w:rPr>
          <w:rFonts w:ascii="Times New Roman" w:hAnsi="Times New Roman" w:cs="Times New Roman"/>
          <w:b/>
          <w:bCs/>
          <w:sz w:val="24"/>
          <w:szCs w:val="24"/>
        </w:rPr>
      </w:pPr>
      <w:r w:rsidRPr="00FD782A">
        <w:rPr>
          <w:rFonts w:ascii="Times New Roman" w:hAnsi="Times New Roman" w:cs="Times New Roman"/>
          <w:sz w:val="24"/>
          <w:szCs w:val="24"/>
        </w:rPr>
        <w:t xml:space="preserve">Figure </w:t>
      </w:r>
      <w:r w:rsidR="00033A1A" w:rsidRPr="00FD782A">
        <w:rPr>
          <w:rFonts w:ascii="Times New Roman" w:hAnsi="Times New Roman" w:cs="Times New Roman"/>
          <w:sz w:val="24"/>
          <w:szCs w:val="24"/>
        </w:rPr>
        <w:t xml:space="preserve">6 </w:t>
      </w:r>
      <w:r w:rsidRPr="00FD782A">
        <w:rPr>
          <w:rFonts w:ascii="Times New Roman" w:hAnsi="Times New Roman" w:cs="Times New Roman"/>
          <w:sz w:val="24"/>
          <w:szCs w:val="24"/>
        </w:rPr>
        <w:t>shows the variation of carbon monoxide (CO) emission with fuel injection pressure for diesel mode, and B50 at full load condition. It may be observed from the figure that CO emission for diesel mode of operation is lesser compared to  B50 mode  at all fuel injection pressure conditions considered  because of the Honne oil blend to the engine reduces the amount of oxygen required for complete combustion. This creates incomplete combustion and increase in the CO emissions</w:t>
      </w:r>
    </w:p>
    <w:p w:rsidR="00DD0632" w:rsidRPr="00FD782A" w:rsidRDefault="00DD0632" w:rsidP="00F62606">
      <w:pPr>
        <w:widowControl w:val="0"/>
        <w:autoSpaceDE w:val="0"/>
        <w:autoSpaceDN w:val="0"/>
        <w:adjustRightInd w:val="0"/>
        <w:spacing w:after="0" w:line="239" w:lineRule="auto"/>
        <w:rPr>
          <w:rFonts w:ascii="Times New Roman" w:hAnsi="Times New Roman" w:cs="Times New Roman"/>
          <w:b/>
          <w:bCs/>
          <w:sz w:val="24"/>
          <w:szCs w:val="24"/>
        </w:rPr>
      </w:pPr>
    </w:p>
    <w:p w:rsidR="00712259" w:rsidRPr="00FD782A" w:rsidRDefault="00E6188E" w:rsidP="0013188D">
      <w:pPr>
        <w:pStyle w:val="Default"/>
        <w:rPr>
          <w:bCs/>
        </w:rPr>
      </w:pPr>
      <w:r w:rsidRPr="00FD782A">
        <w:rPr>
          <w:noProof/>
        </w:rPr>
        <w:drawing>
          <wp:inline distT="0" distB="0" distL="0" distR="0">
            <wp:extent cx="5648325" cy="2324100"/>
            <wp:effectExtent l="19050" t="0" r="952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2259" w:rsidRPr="00FD782A" w:rsidRDefault="00712259" w:rsidP="0013188D">
      <w:pPr>
        <w:pStyle w:val="Default"/>
        <w:rPr>
          <w:bCs/>
        </w:rPr>
      </w:pPr>
    </w:p>
    <w:p w:rsidR="00DC1478" w:rsidRPr="00FD782A" w:rsidRDefault="00DC1478" w:rsidP="001150B9">
      <w:pPr>
        <w:pStyle w:val="Default"/>
        <w:ind w:left="2880" w:firstLine="720"/>
        <w:jc w:val="both"/>
        <w:rPr>
          <w:bCs/>
        </w:rPr>
      </w:pPr>
    </w:p>
    <w:p w:rsidR="0013188D" w:rsidRPr="00FD782A" w:rsidRDefault="00F00049" w:rsidP="001150B9">
      <w:pPr>
        <w:pStyle w:val="Default"/>
        <w:ind w:left="2880" w:firstLine="720"/>
        <w:jc w:val="both"/>
        <w:rPr>
          <w:bCs/>
        </w:rPr>
      </w:pPr>
      <w:r w:rsidRPr="00FD782A">
        <w:rPr>
          <w:bCs/>
        </w:rPr>
        <w:t xml:space="preserve">Fig </w:t>
      </w:r>
      <w:r w:rsidR="00033A1A" w:rsidRPr="00FD782A">
        <w:rPr>
          <w:bCs/>
        </w:rPr>
        <w:t>6</w:t>
      </w:r>
      <w:r w:rsidR="00CF77F7" w:rsidRPr="00FD782A">
        <w:rPr>
          <w:bCs/>
        </w:rPr>
        <w:t xml:space="preserve"> C</w:t>
      </w:r>
      <w:r w:rsidR="009423F3" w:rsidRPr="00FD782A">
        <w:rPr>
          <w:bCs/>
        </w:rPr>
        <w:t>arbon monoxide (D</w:t>
      </w:r>
      <w:r w:rsidR="00B50054" w:rsidRPr="00FD782A">
        <w:rPr>
          <w:bCs/>
        </w:rPr>
        <w:t>iesel) Vs Load</w:t>
      </w:r>
      <w:r w:rsidR="0013188D" w:rsidRPr="00FD782A">
        <w:rPr>
          <w:bCs/>
        </w:rPr>
        <w:tab/>
      </w:r>
      <w:r w:rsidR="0013188D" w:rsidRPr="00FD782A">
        <w:rPr>
          <w:bCs/>
        </w:rPr>
        <w:tab/>
      </w:r>
      <w:r w:rsidR="0013188D" w:rsidRPr="00FD782A">
        <w:rPr>
          <w:bCs/>
        </w:rPr>
        <w:tab/>
      </w:r>
    </w:p>
    <w:p w:rsidR="00B17B0C" w:rsidRPr="00FD782A" w:rsidRDefault="00B17B0C" w:rsidP="00B50054">
      <w:pPr>
        <w:pStyle w:val="Default"/>
        <w:rPr>
          <w:b/>
          <w:bCs/>
        </w:rPr>
      </w:pPr>
    </w:p>
    <w:p w:rsidR="00B17B0C" w:rsidRDefault="00FA117A" w:rsidP="00B50054">
      <w:pPr>
        <w:pStyle w:val="Default"/>
        <w:rPr>
          <w:b/>
        </w:rPr>
      </w:pPr>
      <w:r w:rsidRPr="00FD782A">
        <w:rPr>
          <w:b/>
          <w:bCs/>
        </w:rPr>
        <w:t>6</w:t>
      </w:r>
      <w:r w:rsidR="00B50054" w:rsidRPr="00FD782A">
        <w:rPr>
          <w:b/>
          <w:bCs/>
        </w:rPr>
        <w:t xml:space="preserve">.5 </w:t>
      </w:r>
      <w:r w:rsidR="006E09A5" w:rsidRPr="00FD782A">
        <w:rPr>
          <w:b/>
        </w:rPr>
        <w:t>Carbon dioxide</w:t>
      </w:r>
    </w:p>
    <w:p w:rsidR="00FD782A" w:rsidRPr="00FD782A" w:rsidRDefault="00FD782A" w:rsidP="00B50054">
      <w:pPr>
        <w:pStyle w:val="Default"/>
        <w:rPr>
          <w:b/>
        </w:rPr>
      </w:pPr>
    </w:p>
    <w:p w:rsidR="00381451" w:rsidRPr="00FD782A" w:rsidRDefault="008E14B2" w:rsidP="006474C3">
      <w:pPr>
        <w:pStyle w:val="Default"/>
        <w:spacing w:line="360" w:lineRule="auto"/>
        <w:jc w:val="both"/>
        <w:rPr>
          <w:b/>
        </w:rPr>
      </w:pPr>
      <w:r w:rsidRPr="00FD782A">
        <w:rPr>
          <w:rFonts w:eastAsia="Times New Roman"/>
        </w:rPr>
        <w:t xml:space="preserve">From figure </w:t>
      </w:r>
      <w:r w:rsidR="00854443" w:rsidRPr="00FD782A">
        <w:rPr>
          <w:rFonts w:eastAsia="Times New Roman"/>
        </w:rPr>
        <w:t>7 it</w:t>
      </w:r>
      <w:r w:rsidR="008620C0" w:rsidRPr="00FD782A">
        <w:t xml:space="preserve"> can be observed that the variation of carbon dioxide emission with load for diesel and B50 operation. From the results, it is observed that the amount of CO</w:t>
      </w:r>
      <w:r w:rsidR="008620C0" w:rsidRPr="00FD782A">
        <w:rPr>
          <w:vertAlign w:val="subscript"/>
        </w:rPr>
        <w:t>2</w:t>
      </w:r>
      <w:r w:rsidR="008620C0" w:rsidRPr="00FD782A">
        <w:t xml:space="preserve"> produced while using B50 blend is higher than diesel at all load conditions. Carbon dioxide is a desirable byproduct that is produced when the carbon from the fuel is fully oxidized during the combustion process. As a general rule, the higher the carbon dioxide reading, the more efficient the engine is operating</w:t>
      </w:r>
    </w:p>
    <w:p w:rsidR="00B50054" w:rsidRPr="00FD782A" w:rsidRDefault="00B50054" w:rsidP="006474C3">
      <w:pPr>
        <w:widowControl w:val="0"/>
        <w:autoSpaceDE w:val="0"/>
        <w:autoSpaceDN w:val="0"/>
        <w:adjustRightInd w:val="0"/>
        <w:spacing w:after="0" w:line="360" w:lineRule="auto"/>
        <w:jc w:val="both"/>
        <w:rPr>
          <w:rFonts w:ascii="Times New Roman" w:hAnsi="Times New Roman" w:cs="Times New Roman"/>
          <w:sz w:val="24"/>
          <w:szCs w:val="24"/>
        </w:rPr>
      </w:pPr>
    </w:p>
    <w:p w:rsidR="009A13C2" w:rsidRPr="00FD782A" w:rsidRDefault="00CE118A" w:rsidP="009A13C2">
      <w:pPr>
        <w:widowControl w:val="0"/>
        <w:autoSpaceDE w:val="0"/>
        <w:autoSpaceDN w:val="0"/>
        <w:adjustRightInd w:val="0"/>
        <w:spacing w:after="0" w:line="240" w:lineRule="auto"/>
        <w:jc w:val="both"/>
        <w:rPr>
          <w:rFonts w:ascii="Times New Roman" w:hAnsi="Times New Roman" w:cs="Times New Roman"/>
          <w:bCs/>
          <w:sz w:val="24"/>
          <w:szCs w:val="24"/>
        </w:rPr>
      </w:pPr>
      <w:r w:rsidRPr="00FD782A">
        <w:rPr>
          <w:rFonts w:ascii="Times New Roman" w:hAnsi="Times New Roman" w:cs="Times New Roman"/>
          <w:noProof/>
          <w:sz w:val="24"/>
          <w:szCs w:val="24"/>
        </w:rPr>
        <w:drawing>
          <wp:inline distT="0" distB="0" distL="0" distR="0">
            <wp:extent cx="5886450" cy="3136900"/>
            <wp:effectExtent l="19050" t="0" r="19050" b="6350"/>
            <wp:docPr id="34" name="Objec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3188D" w:rsidRPr="00FD782A">
        <w:rPr>
          <w:rFonts w:ascii="Times New Roman" w:hAnsi="Times New Roman" w:cs="Times New Roman"/>
          <w:noProof/>
          <w:sz w:val="24"/>
          <w:szCs w:val="24"/>
        </w:rPr>
        <w:br w:type="textWrapping" w:clear="all"/>
      </w:r>
    </w:p>
    <w:p w:rsidR="00E816C1" w:rsidRPr="00FD782A" w:rsidRDefault="00E816C1" w:rsidP="009A13C2">
      <w:pPr>
        <w:widowControl w:val="0"/>
        <w:autoSpaceDE w:val="0"/>
        <w:autoSpaceDN w:val="0"/>
        <w:adjustRightInd w:val="0"/>
        <w:spacing w:after="0" w:line="240" w:lineRule="auto"/>
        <w:ind w:left="2880" w:firstLine="720"/>
        <w:jc w:val="both"/>
        <w:rPr>
          <w:rFonts w:ascii="Times New Roman" w:hAnsi="Times New Roman" w:cs="Times New Roman"/>
          <w:bCs/>
          <w:sz w:val="24"/>
          <w:szCs w:val="24"/>
        </w:rPr>
      </w:pPr>
    </w:p>
    <w:p w:rsidR="00A169BC" w:rsidRPr="00FD782A" w:rsidRDefault="008E14B2" w:rsidP="009A13C2">
      <w:pPr>
        <w:widowControl w:val="0"/>
        <w:autoSpaceDE w:val="0"/>
        <w:autoSpaceDN w:val="0"/>
        <w:adjustRightInd w:val="0"/>
        <w:spacing w:after="0" w:line="240" w:lineRule="auto"/>
        <w:ind w:left="2880" w:firstLine="720"/>
        <w:jc w:val="both"/>
        <w:rPr>
          <w:rFonts w:ascii="Times New Roman" w:hAnsi="Times New Roman" w:cs="Times New Roman"/>
          <w:noProof/>
          <w:sz w:val="24"/>
          <w:szCs w:val="24"/>
        </w:rPr>
      </w:pPr>
      <w:r w:rsidRPr="00FD782A">
        <w:rPr>
          <w:rFonts w:ascii="Times New Roman" w:hAnsi="Times New Roman" w:cs="Times New Roman"/>
          <w:bCs/>
          <w:sz w:val="24"/>
          <w:szCs w:val="24"/>
        </w:rPr>
        <w:t xml:space="preserve">Fig 7 </w:t>
      </w:r>
      <w:r w:rsidR="00A169BC" w:rsidRPr="00FD782A">
        <w:rPr>
          <w:rFonts w:ascii="Times New Roman" w:hAnsi="Times New Roman" w:cs="Times New Roman"/>
          <w:bCs/>
          <w:sz w:val="24"/>
          <w:szCs w:val="24"/>
        </w:rPr>
        <w:t xml:space="preserve"> </w:t>
      </w:r>
      <w:r w:rsidR="00A169BC" w:rsidRPr="00FD782A">
        <w:rPr>
          <w:rFonts w:ascii="Times New Roman" w:hAnsi="Times New Roman" w:cs="Times New Roman"/>
          <w:sz w:val="24"/>
          <w:szCs w:val="24"/>
        </w:rPr>
        <w:t>Carbon dioxide</w:t>
      </w:r>
      <w:r w:rsidR="00B50054" w:rsidRPr="00FD782A">
        <w:rPr>
          <w:rFonts w:ascii="Times New Roman" w:hAnsi="Times New Roman" w:cs="Times New Roman"/>
          <w:bCs/>
          <w:sz w:val="24"/>
          <w:szCs w:val="24"/>
        </w:rPr>
        <w:t xml:space="preserve"> (Diesel) Vs Load</w:t>
      </w:r>
      <w:r w:rsidR="0013188D" w:rsidRPr="00FD782A">
        <w:rPr>
          <w:rFonts w:ascii="Times New Roman" w:hAnsi="Times New Roman" w:cs="Times New Roman"/>
          <w:sz w:val="24"/>
          <w:szCs w:val="24"/>
        </w:rPr>
        <w:tab/>
      </w:r>
      <w:r w:rsidR="0013188D" w:rsidRPr="00FD782A">
        <w:rPr>
          <w:rFonts w:ascii="Times New Roman" w:hAnsi="Times New Roman" w:cs="Times New Roman"/>
          <w:sz w:val="24"/>
          <w:szCs w:val="24"/>
        </w:rPr>
        <w:tab/>
      </w:r>
    </w:p>
    <w:p w:rsidR="0006481C" w:rsidRPr="00FD782A" w:rsidRDefault="0006481C" w:rsidP="00B50054">
      <w:pPr>
        <w:pStyle w:val="Default"/>
        <w:rPr>
          <w:bCs/>
        </w:rPr>
      </w:pPr>
    </w:p>
    <w:p w:rsidR="0006481C" w:rsidRPr="00FD782A" w:rsidRDefault="0006481C" w:rsidP="00B50054">
      <w:pPr>
        <w:pStyle w:val="Default"/>
        <w:rPr>
          <w:bCs/>
        </w:rPr>
      </w:pPr>
    </w:p>
    <w:p w:rsidR="00B50054" w:rsidRPr="00FD782A" w:rsidRDefault="00FA117A" w:rsidP="00B50054">
      <w:pPr>
        <w:pStyle w:val="Default"/>
      </w:pPr>
      <w:r w:rsidRPr="00FD782A">
        <w:rPr>
          <w:b/>
          <w:bCs/>
        </w:rPr>
        <w:t>7</w:t>
      </w:r>
      <w:r w:rsidR="00B50054" w:rsidRPr="00FD782A">
        <w:rPr>
          <w:b/>
          <w:bCs/>
        </w:rPr>
        <w:t xml:space="preserve">. CONCLUSION </w:t>
      </w:r>
    </w:p>
    <w:p w:rsidR="00616E5C" w:rsidRPr="00FD782A" w:rsidRDefault="00616E5C" w:rsidP="00616E5C">
      <w:pPr>
        <w:spacing w:before="100" w:beforeAutospacing="1" w:line="360" w:lineRule="auto"/>
        <w:jc w:val="both"/>
        <w:rPr>
          <w:rFonts w:ascii="Times New Roman" w:hAnsi="Times New Roman" w:cs="Times New Roman"/>
          <w:sz w:val="24"/>
          <w:szCs w:val="24"/>
        </w:rPr>
      </w:pPr>
      <w:r w:rsidRPr="00FD782A">
        <w:rPr>
          <w:rFonts w:ascii="Times New Roman" w:hAnsi="Times New Roman" w:cs="Times New Roman"/>
          <w:sz w:val="24"/>
          <w:szCs w:val="24"/>
        </w:rPr>
        <w:t xml:space="preserve">            The engine was made to run on diesel fuel mode, and honne oil- diesel mode. The experiments were conducted at 3 different fuel injection pressures of 180 bar, 200 bar and 220 </w:t>
      </w:r>
      <w:r w:rsidRPr="00FD782A">
        <w:rPr>
          <w:rFonts w:ascii="Times New Roman" w:hAnsi="Times New Roman" w:cs="Times New Roman"/>
          <w:sz w:val="24"/>
          <w:szCs w:val="24"/>
        </w:rPr>
        <w:lastRenderedPageBreak/>
        <w:t xml:space="preserve">bar. The performance and emission of the engine at full load were investigated. The following results were obtained. </w:t>
      </w:r>
    </w:p>
    <w:p w:rsidR="00B160FE" w:rsidRPr="00FD782A" w:rsidRDefault="00616E5C" w:rsidP="00DF6CEF">
      <w:pPr>
        <w:spacing w:line="360" w:lineRule="auto"/>
        <w:jc w:val="both"/>
        <w:rPr>
          <w:rFonts w:ascii="Times New Roman" w:hAnsi="Times New Roman" w:cs="Times New Roman"/>
          <w:sz w:val="24"/>
          <w:szCs w:val="24"/>
        </w:rPr>
      </w:pPr>
      <w:r w:rsidRPr="00FD782A">
        <w:rPr>
          <w:rFonts w:ascii="Times New Roman" w:hAnsi="Times New Roman" w:cs="Times New Roman"/>
          <w:sz w:val="24"/>
          <w:szCs w:val="24"/>
        </w:rPr>
        <w:t xml:space="preserve">           </w:t>
      </w:r>
      <w:r w:rsidRPr="00FD782A">
        <w:rPr>
          <w:rFonts w:ascii="Times New Roman" w:hAnsi="Times New Roman" w:cs="Times New Roman"/>
          <w:sz w:val="24"/>
          <w:szCs w:val="24"/>
        </w:rPr>
        <w:tab/>
        <w:t>The engine was able to run on 180 bar, 200 bar and 220 bar fuel injection pressures on diesel fuel mode and honne oil- diesel mode.</w:t>
      </w:r>
    </w:p>
    <w:p w:rsidR="00616E5C" w:rsidRPr="00FD782A" w:rsidRDefault="00616E5C" w:rsidP="00616E5C">
      <w:pPr>
        <w:numPr>
          <w:ilvl w:val="0"/>
          <w:numId w:val="12"/>
        </w:numPr>
        <w:spacing w:after="0" w:line="360" w:lineRule="auto"/>
        <w:jc w:val="both"/>
        <w:rPr>
          <w:rFonts w:ascii="Times New Roman" w:hAnsi="Times New Roman" w:cs="Times New Roman"/>
          <w:sz w:val="24"/>
          <w:szCs w:val="24"/>
        </w:rPr>
      </w:pPr>
      <w:r w:rsidRPr="00FD782A">
        <w:rPr>
          <w:rFonts w:ascii="Times New Roman" w:hAnsi="Times New Roman" w:cs="Times New Roman"/>
          <w:sz w:val="24"/>
          <w:szCs w:val="24"/>
        </w:rPr>
        <w:t xml:space="preserve">Brake specific fuel consumption for the honne oil-diesel blend when lower than </w:t>
      </w:r>
      <w:r w:rsidR="00367F0D" w:rsidRPr="00FD782A">
        <w:rPr>
          <w:rFonts w:ascii="Times New Roman" w:hAnsi="Times New Roman" w:cs="Times New Roman"/>
          <w:sz w:val="24"/>
          <w:szCs w:val="24"/>
        </w:rPr>
        <w:t>the BSFC</w:t>
      </w:r>
      <w:r w:rsidRPr="00FD782A">
        <w:rPr>
          <w:rFonts w:ascii="Times New Roman" w:hAnsi="Times New Roman" w:cs="Times New Roman"/>
          <w:sz w:val="24"/>
          <w:szCs w:val="24"/>
        </w:rPr>
        <w:t xml:space="preserve"> with 0.522 kg/kWhr at 180 bar, 0.510 kg/kWhr at 200 bar and 0.503 kg/kWhr at 220 bar .</w:t>
      </w:r>
    </w:p>
    <w:p w:rsidR="00B160FE" w:rsidRPr="00FD782A" w:rsidRDefault="00616E5C" w:rsidP="00B160FE">
      <w:pPr>
        <w:numPr>
          <w:ilvl w:val="0"/>
          <w:numId w:val="12"/>
        </w:numPr>
        <w:spacing w:after="0" w:line="360" w:lineRule="auto"/>
        <w:jc w:val="both"/>
        <w:rPr>
          <w:rFonts w:ascii="Times New Roman" w:hAnsi="Times New Roman" w:cs="Times New Roman"/>
          <w:sz w:val="24"/>
          <w:szCs w:val="24"/>
        </w:rPr>
      </w:pPr>
      <w:r w:rsidRPr="00FD782A">
        <w:rPr>
          <w:rFonts w:ascii="Times New Roman" w:hAnsi="Times New Roman" w:cs="Times New Roman"/>
          <w:sz w:val="24"/>
          <w:szCs w:val="24"/>
        </w:rPr>
        <w:t>The brake thermal efficiency of the engine for honne oil- diesel blend of operations is high compared to diesel mode at 180,200 and 220 bar.</w:t>
      </w:r>
    </w:p>
    <w:p w:rsidR="00616E5C" w:rsidRPr="00FD782A" w:rsidRDefault="00616E5C" w:rsidP="00616E5C">
      <w:pPr>
        <w:numPr>
          <w:ilvl w:val="0"/>
          <w:numId w:val="12"/>
        </w:numPr>
        <w:spacing w:after="0" w:line="360" w:lineRule="auto"/>
        <w:jc w:val="both"/>
        <w:rPr>
          <w:rFonts w:ascii="Times New Roman" w:hAnsi="Times New Roman" w:cs="Times New Roman"/>
          <w:sz w:val="24"/>
          <w:szCs w:val="24"/>
        </w:rPr>
      </w:pPr>
      <w:r w:rsidRPr="00FD782A">
        <w:rPr>
          <w:rFonts w:ascii="Times New Roman" w:hAnsi="Times New Roman" w:cs="Times New Roman"/>
          <w:sz w:val="24"/>
          <w:szCs w:val="24"/>
        </w:rPr>
        <w:t>The exhaust gas temperature of honne oil-diesel mode is less compared to diesel mode at fuel injection pressures of 180,200 and 220 bar.</w:t>
      </w:r>
    </w:p>
    <w:p w:rsidR="00616E5C" w:rsidRPr="00FD782A" w:rsidRDefault="00616E5C" w:rsidP="00616E5C">
      <w:pPr>
        <w:numPr>
          <w:ilvl w:val="0"/>
          <w:numId w:val="12"/>
        </w:numPr>
        <w:spacing w:after="0" w:line="360" w:lineRule="auto"/>
        <w:jc w:val="both"/>
        <w:rPr>
          <w:rFonts w:ascii="Times New Roman" w:hAnsi="Times New Roman" w:cs="Times New Roman"/>
          <w:sz w:val="24"/>
          <w:szCs w:val="24"/>
        </w:rPr>
      </w:pPr>
      <w:r w:rsidRPr="00FD782A">
        <w:rPr>
          <w:rFonts w:ascii="Times New Roman" w:hAnsi="Times New Roman" w:cs="Times New Roman"/>
          <w:sz w:val="24"/>
          <w:szCs w:val="24"/>
        </w:rPr>
        <w:t>CO emission of honne oil-diesel mode is higher compared to that of diesel fuel mode at all fuel injection pressures.</w:t>
      </w:r>
    </w:p>
    <w:p w:rsidR="00616E5C" w:rsidRPr="00FD782A" w:rsidRDefault="00616E5C" w:rsidP="00616E5C">
      <w:pPr>
        <w:numPr>
          <w:ilvl w:val="0"/>
          <w:numId w:val="12"/>
        </w:numPr>
        <w:spacing w:after="0" w:line="360" w:lineRule="auto"/>
        <w:jc w:val="both"/>
        <w:rPr>
          <w:rFonts w:ascii="Times New Roman" w:hAnsi="Times New Roman" w:cs="Times New Roman"/>
          <w:sz w:val="24"/>
          <w:szCs w:val="24"/>
        </w:rPr>
      </w:pPr>
      <w:r w:rsidRPr="00FD782A">
        <w:rPr>
          <w:rFonts w:ascii="Times New Roman" w:hAnsi="Times New Roman" w:cs="Times New Roman"/>
          <w:sz w:val="24"/>
          <w:szCs w:val="24"/>
        </w:rPr>
        <w:t>CO</w:t>
      </w:r>
      <w:r w:rsidRPr="00FD782A">
        <w:rPr>
          <w:rFonts w:ascii="Times New Roman" w:hAnsi="Times New Roman" w:cs="Times New Roman"/>
          <w:sz w:val="24"/>
          <w:szCs w:val="24"/>
          <w:vertAlign w:val="subscript"/>
        </w:rPr>
        <w:t xml:space="preserve">2 </w:t>
      </w:r>
      <w:r w:rsidRPr="00FD782A">
        <w:rPr>
          <w:rFonts w:ascii="Times New Roman" w:hAnsi="Times New Roman" w:cs="Times New Roman"/>
          <w:sz w:val="24"/>
          <w:szCs w:val="24"/>
        </w:rPr>
        <w:t>emission increased up to the fuel injection pressure of 200 bar for honne oil- diesel mode and then decreased slightly at 220 bar injection pressure.</w:t>
      </w:r>
    </w:p>
    <w:p w:rsidR="00616E5C" w:rsidRPr="00FD782A" w:rsidRDefault="00616E5C" w:rsidP="00616E5C">
      <w:pPr>
        <w:numPr>
          <w:ilvl w:val="0"/>
          <w:numId w:val="12"/>
        </w:numPr>
        <w:autoSpaceDE w:val="0"/>
        <w:autoSpaceDN w:val="0"/>
        <w:adjustRightInd w:val="0"/>
        <w:spacing w:after="0" w:line="360" w:lineRule="auto"/>
        <w:jc w:val="both"/>
        <w:rPr>
          <w:rFonts w:ascii="Times New Roman" w:hAnsi="Times New Roman" w:cs="Times New Roman"/>
          <w:sz w:val="24"/>
          <w:szCs w:val="24"/>
        </w:rPr>
      </w:pPr>
      <w:r w:rsidRPr="00FD782A">
        <w:rPr>
          <w:rFonts w:ascii="Times New Roman" w:hAnsi="Times New Roman" w:cs="Times New Roman"/>
          <w:sz w:val="24"/>
          <w:szCs w:val="24"/>
        </w:rPr>
        <w:t>CO emission decreased with increase in fuel injection pressure from 180 bar to 220 bar for fossil diesel mode of operation.</w:t>
      </w:r>
    </w:p>
    <w:p w:rsidR="00616E5C" w:rsidRPr="00FD782A" w:rsidRDefault="00616E5C" w:rsidP="00616E5C">
      <w:pPr>
        <w:numPr>
          <w:ilvl w:val="0"/>
          <w:numId w:val="12"/>
        </w:numPr>
        <w:autoSpaceDE w:val="0"/>
        <w:autoSpaceDN w:val="0"/>
        <w:adjustRightInd w:val="0"/>
        <w:spacing w:after="0" w:line="360" w:lineRule="auto"/>
        <w:jc w:val="both"/>
        <w:rPr>
          <w:rFonts w:ascii="Times New Roman" w:hAnsi="Times New Roman" w:cs="Times New Roman"/>
          <w:sz w:val="24"/>
          <w:szCs w:val="24"/>
        </w:rPr>
      </w:pPr>
      <w:r w:rsidRPr="00FD782A">
        <w:rPr>
          <w:rFonts w:ascii="Times New Roman" w:hAnsi="Times New Roman" w:cs="Times New Roman"/>
          <w:sz w:val="24"/>
          <w:szCs w:val="24"/>
        </w:rPr>
        <w:t>HC emission of honne oil-diesel operation is less than the diesel fuel mode at             180 bar fuel injection pressure.</w:t>
      </w:r>
    </w:p>
    <w:p w:rsidR="00942BEF" w:rsidRPr="00FD782A" w:rsidRDefault="00616E5C" w:rsidP="000615A6">
      <w:pPr>
        <w:autoSpaceDE w:val="0"/>
        <w:autoSpaceDN w:val="0"/>
        <w:adjustRightInd w:val="0"/>
        <w:spacing w:after="0" w:line="360" w:lineRule="auto"/>
        <w:jc w:val="both"/>
        <w:rPr>
          <w:rFonts w:ascii="Times New Roman" w:hAnsi="Times New Roman" w:cs="Times New Roman"/>
          <w:sz w:val="24"/>
          <w:szCs w:val="24"/>
        </w:rPr>
      </w:pPr>
      <w:r w:rsidRPr="00FD782A">
        <w:rPr>
          <w:rFonts w:ascii="Times New Roman" w:hAnsi="Times New Roman" w:cs="Times New Roman"/>
          <w:sz w:val="24"/>
          <w:szCs w:val="24"/>
        </w:rPr>
        <w:t>From the above analysis the main conclusion is honne oil blend are suitable substitute for diesel at high injection pressure, at produce lesser emission and better performance then diesel.</w:t>
      </w:r>
    </w:p>
    <w:p w:rsidR="00942BEF" w:rsidRPr="00FD782A" w:rsidRDefault="00942BEF" w:rsidP="00B61ED4">
      <w:pPr>
        <w:autoSpaceDE w:val="0"/>
        <w:autoSpaceDN w:val="0"/>
        <w:adjustRightInd w:val="0"/>
        <w:spacing w:after="0" w:line="240" w:lineRule="auto"/>
        <w:rPr>
          <w:rFonts w:ascii="Times New Roman" w:hAnsi="Times New Roman" w:cs="Times New Roman"/>
          <w:b/>
          <w:sz w:val="24"/>
          <w:szCs w:val="24"/>
        </w:rPr>
      </w:pPr>
    </w:p>
    <w:p w:rsidR="00B61ED4" w:rsidRPr="00FD782A" w:rsidRDefault="00B61ED4" w:rsidP="00B61ED4">
      <w:pPr>
        <w:autoSpaceDE w:val="0"/>
        <w:autoSpaceDN w:val="0"/>
        <w:adjustRightInd w:val="0"/>
        <w:spacing w:after="0" w:line="240" w:lineRule="auto"/>
        <w:rPr>
          <w:rFonts w:ascii="Times New Roman" w:hAnsi="Times New Roman" w:cs="Times New Roman"/>
          <w:b/>
          <w:sz w:val="24"/>
          <w:szCs w:val="24"/>
        </w:rPr>
      </w:pPr>
      <w:r w:rsidRPr="00FD782A">
        <w:rPr>
          <w:rFonts w:ascii="Times New Roman" w:hAnsi="Times New Roman" w:cs="Times New Roman"/>
          <w:b/>
          <w:sz w:val="24"/>
          <w:szCs w:val="24"/>
        </w:rPr>
        <w:t>8. REFERENCES</w:t>
      </w:r>
    </w:p>
    <w:p w:rsidR="00B61ED4" w:rsidRPr="00FD782A" w:rsidRDefault="00B61ED4" w:rsidP="00B61ED4">
      <w:pPr>
        <w:pStyle w:val="Default"/>
      </w:pPr>
    </w:p>
    <w:p w:rsidR="00B61ED4" w:rsidRPr="00FD782A" w:rsidRDefault="00B61ED4" w:rsidP="00B61ED4">
      <w:pPr>
        <w:pStyle w:val="Default"/>
        <w:numPr>
          <w:ilvl w:val="0"/>
          <w:numId w:val="5"/>
        </w:numPr>
      </w:pPr>
      <w:r w:rsidRPr="00FD782A">
        <w:t>B.K.Barnwal, M.P. Sharma, "Prospects of bio-diesel production from vegetable oils in India" Renewable and sustainable energy reviews, Vol. 9, 2005, 363-378.</w:t>
      </w:r>
    </w:p>
    <w:p w:rsidR="00B61ED4" w:rsidRPr="00FD782A" w:rsidRDefault="00B61ED4" w:rsidP="00B61ED4">
      <w:pPr>
        <w:pStyle w:val="Default"/>
        <w:ind w:left="720"/>
      </w:pPr>
    </w:p>
    <w:p w:rsidR="00B61ED4" w:rsidRPr="00FD782A" w:rsidRDefault="00B61ED4" w:rsidP="00B61ED4">
      <w:pPr>
        <w:pStyle w:val="Default"/>
        <w:numPr>
          <w:ilvl w:val="0"/>
          <w:numId w:val="5"/>
        </w:numPr>
      </w:pPr>
      <w:r w:rsidRPr="00FD782A">
        <w:t xml:space="preserve">Gerpen, J. V. (2005). Biodiesel processing and production. </w:t>
      </w:r>
      <w:r w:rsidRPr="00FD782A">
        <w:rPr>
          <w:i/>
          <w:iCs/>
        </w:rPr>
        <w:t>Fuel Processing Technology,</w:t>
      </w:r>
      <w:r w:rsidRPr="00FD782A">
        <w:t xml:space="preserve"> 86:1097-1107. 1] A.K. Agarwal, L.M. Das, "Biodiesel development and characterization for use as a fuel in C.I Engine", Journal of Engineering, Gas turbine and power (ASME), Vol.123, 2000, 440-447.</w:t>
      </w:r>
    </w:p>
    <w:p w:rsidR="00B61ED4" w:rsidRPr="00FD782A" w:rsidRDefault="00B61ED4" w:rsidP="00B61ED4">
      <w:pPr>
        <w:pStyle w:val="ListParagraph"/>
        <w:rPr>
          <w:rFonts w:ascii="Times New Roman" w:hAnsi="Times New Roman" w:cs="Times New Roman"/>
          <w:sz w:val="24"/>
          <w:szCs w:val="24"/>
          <w:lang w:bidi="te-IN"/>
        </w:rPr>
      </w:pPr>
    </w:p>
    <w:p w:rsidR="00B61ED4" w:rsidRPr="00FD782A" w:rsidRDefault="00B61ED4" w:rsidP="00B61ED4">
      <w:pPr>
        <w:pStyle w:val="Default"/>
        <w:numPr>
          <w:ilvl w:val="0"/>
          <w:numId w:val="5"/>
        </w:numPr>
      </w:pPr>
      <w:r w:rsidRPr="00FD782A">
        <w:rPr>
          <w:lang w:bidi="te-IN"/>
        </w:rPr>
        <w:lastRenderedPageBreak/>
        <w:t>A.S.Ramadhas, S.Jayaraj, C.Muraleedharan, "Use of vegetable oils as I.C engine fuels: A Review", Renewable Energy, Vol.29, 2004, 727-742.</w:t>
      </w:r>
    </w:p>
    <w:p w:rsidR="00B61ED4" w:rsidRPr="00FD782A" w:rsidRDefault="00B61ED4" w:rsidP="00B61ED4">
      <w:pPr>
        <w:pStyle w:val="ListParagraph"/>
        <w:rPr>
          <w:rFonts w:ascii="Times New Roman" w:hAnsi="Times New Roman" w:cs="Times New Roman"/>
          <w:sz w:val="24"/>
          <w:szCs w:val="24"/>
        </w:rPr>
      </w:pPr>
    </w:p>
    <w:p w:rsidR="00B61ED4" w:rsidRPr="00FD782A" w:rsidRDefault="00B61ED4" w:rsidP="00B61ED4">
      <w:pPr>
        <w:pStyle w:val="Default"/>
        <w:numPr>
          <w:ilvl w:val="0"/>
          <w:numId w:val="5"/>
        </w:numPr>
      </w:pPr>
      <w:r w:rsidRPr="00FD782A">
        <w:rPr>
          <w:lang w:bidi="te-IN"/>
        </w:rPr>
        <w:t>B.S. Chiou, H.M. El-mashad, R.J. Avena-Bustillos, R.O. Dunn, P.J. Bechtel, " Biodiesel from waste salmon oil"American society of Agricultural and Biological Engineers,Vol. 51(3), 2008,797-802</w:t>
      </w:r>
      <w:r w:rsidRPr="00FD782A">
        <w:t>.</w:t>
      </w:r>
    </w:p>
    <w:p w:rsidR="00B61ED4" w:rsidRPr="00FD782A" w:rsidRDefault="00B61ED4" w:rsidP="00B61ED4">
      <w:pPr>
        <w:pStyle w:val="ListParagraph"/>
        <w:rPr>
          <w:rFonts w:ascii="Times New Roman" w:hAnsi="Times New Roman" w:cs="Times New Roman"/>
          <w:sz w:val="24"/>
          <w:szCs w:val="24"/>
          <w:lang w:bidi="te-IN"/>
        </w:rPr>
      </w:pPr>
    </w:p>
    <w:p w:rsidR="00B61ED4" w:rsidRPr="00FD782A" w:rsidRDefault="00B61ED4" w:rsidP="00B61ED4">
      <w:pPr>
        <w:pStyle w:val="Default"/>
        <w:numPr>
          <w:ilvl w:val="0"/>
          <w:numId w:val="5"/>
        </w:numPr>
      </w:pPr>
      <w:r w:rsidRPr="00FD782A">
        <w:rPr>
          <w:lang w:bidi="te-IN"/>
        </w:rPr>
        <w:t>A.Srivastava, R.Prasad, "Triglycerides- based diesel fuels"</w:t>
      </w:r>
      <w:r w:rsidRPr="00FD782A">
        <w:t xml:space="preserve"> </w:t>
      </w:r>
      <w:r w:rsidRPr="00FD782A">
        <w:rPr>
          <w:lang w:bidi="te-IN"/>
        </w:rPr>
        <w:t>Renewable Energy Reviews, Vol.24, 2004, 111-133.</w:t>
      </w:r>
    </w:p>
    <w:p w:rsidR="00B61ED4" w:rsidRPr="00FD782A" w:rsidRDefault="00B61ED4" w:rsidP="00B61ED4">
      <w:pPr>
        <w:pStyle w:val="Default"/>
      </w:pPr>
    </w:p>
    <w:p w:rsidR="00B61ED4" w:rsidRPr="00FD782A" w:rsidRDefault="00B61ED4" w:rsidP="00B61ED4">
      <w:pPr>
        <w:numPr>
          <w:ilvl w:val="0"/>
          <w:numId w:val="5"/>
        </w:numPr>
        <w:autoSpaceDE w:val="0"/>
        <w:autoSpaceDN w:val="0"/>
        <w:adjustRightInd w:val="0"/>
        <w:spacing w:after="0" w:line="240" w:lineRule="auto"/>
        <w:rPr>
          <w:rFonts w:ascii="Times New Roman" w:hAnsi="Times New Roman" w:cs="Times New Roman"/>
          <w:sz w:val="24"/>
          <w:szCs w:val="24"/>
          <w:lang w:bidi="te-IN"/>
        </w:rPr>
      </w:pPr>
      <w:r w:rsidRPr="00FD782A">
        <w:rPr>
          <w:rFonts w:ascii="Times New Roman" w:hAnsi="Times New Roman" w:cs="Times New Roman"/>
          <w:sz w:val="24"/>
          <w:szCs w:val="24"/>
          <w:lang w:bidi="te-IN"/>
        </w:rPr>
        <w:t>F. Karaoamanoplu, "Vegetable oil fuels: A review", Energy sources, Vol.70, 1999, 221-231.</w:t>
      </w:r>
    </w:p>
    <w:p w:rsidR="00B61ED4" w:rsidRPr="00FD782A" w:rsidRDefault="00B61ED4" w:rsidP="00B61ED4">
      <w:pPr>
        <w:autoSpaceDE w:val="0"/>
        <w:autoSpaceDN w:val="0"/>
        <w:adjustRightInd w:val="0"/>
        <w:spacing w:after="0" w:line="240" w:lineRule="auto"/>
        <w:rPr>
          <w:rFonts w:ascii="Times New Roman" w:hAnsi="Times New Roman" w:cs="Times New Roman"/>
          <w:sz w:val="24"/>
          <w:szCs w:val="24"/>
          <w:lang w:bidi="te-IN"/>
        </w:rPr>
      </w:pPr>
    </w:p>
    <w:p w:rsidR="00B61ED4" w:rsidRPr="00FD782A" w:rsidRDefault="00B61ED4" w:rsidP="00B61ED4">
      <w:pPr>
        <w:numPr>
          <w:ilvl w:val="0"/>
          <w:numId w:val="5"/>
        </w:numPr>
        <w:autoSpaceDE w:val="0"/>
        <w:autoSpaceDN w:val="0"/>
        <w:adjustRightInd w:val="0"/>
        <w:spacing w:after="0" w:line="240" w:lineRule="auto"/>
        <w:rPr>
          <w:rFonts w:ascii="Times New Roman" w:hAnsi="Times New Roman" w:cs="Times New Roman"/>
          <w:sz w:val="24"/>
          <w:szCs w:val="24"/>
          <w:lang w:bidi="te-IN"/>
        </w:rPr>
      </w:pPr>
      <w:r w:rsidRPr="00FD782A">
        <w:rPr>
          <w:rFonts w:ascii="Times New Roman" w:eastAsia="Times New Roman" w:hAnsi="Times New Roman" w:cs="Times New Roman"/>
          <w:bCs/>
          <w:color w:val="000000"/>
          <w:sz w:val="24"/>
          <w:szCs w:val="24"/>
        </w:rPr>
        <w:t>V. Ganesan: Internal Combustion Engines, Third Edition, Tata McGraw-Hill.</w:t>
      </w:r>
    </w:p>
    <w:p w:rsidR="00B61ED4" w:rsidRPr="00FD782A" w:rsidRDefault="00B61ED4" w:rsidP="00B61ED4">
      <w:pPr>
        <w:pStyle w:val="Default"/>
        <w:ind w:left="720"/>
      </w:pPr>
    </w:p>
    <w:p w:rsidR="00ED5040" w:rsidRPr="00FD782A" w:rsidRDefault="00ED5040" w:rsidP="00ED5040">
      <w:pPr>
        <w:pStyle w:val="Default"/>
        <w:ind w:left="720"/>
      </w:pPr>
    </w:p>
    <w:sectPr w:rsidR="00ED5040" w:rsidRPr="00FD782A" w:rsidSect="00FD782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792" w:rsidRDefault="002D6792" w:rsidP="000747F3">
      <w:pPr>
        <w:spacing w:after="0" w:line="240" w:lineRule="auto"/>
      </w:pPr>
      <w:r>
        <w:separator/>
      </w:r>
    </w:p>
  </w:endnote>
  <w:endnote w:type="continuationSeparator" w:id="1">
    <w:p w:rsidR="002D6792" w:rsidRDefault="002D6792" w:rsidP="00074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08" w:rsidRPr="00567152" w:rsidRDefault="006F4008" w:rsidP="006F4008">
    <w:pPr>
      <w:pStyle w:val="Footer"/>
      <w:pBdr>
        <w:top w:val="thinThickSmallGap" w:sz="24" w:space="1" w:color="622423" w:themeColor="accent2" w:themeShade="7F"/>
      </w:pBdr>
      <w:ind w:left="990" w:hanging="990"/>
      <w:rPr>
        <w:rFonts w:ascii="Times New Roman" w:hAnsi="Times New Roman" w:cs="Times New Roman"/>
        <w:color w:val="002060"/>
      </w:rPr>
    </w:pPr>
    <w:r w:rsidRPr="00567152">
      <w:rPr>
        <w:rFonts w:ascii="Times New Roman" w:hAnsi="Times New Roman" w:cs="Times New Roman"/>
        <w:color w:val="002060"/>
        <w:sz w:val="16"/>
        <w:szCs w:val="18"/>
      </w:rPr>
      <w:t xml:space="preserve">     A Monthly Double-Blind Peer Reviewed Refereed Open Access International e-Journal - Included in the International Serial Directories.                                                    </w:t>
    </w:r>
    <w:r w:rsidRPr="00567152">
      <w:rPr>
        <w:rFonts w:ascii="Times New Roman" w:hAnsi="Times New Roman" w:cs="Times New Roman"/>
        <w:b/>
        <w:color w:val="002060"/>
      </w:rPr>
      <w:t xml:space="preserve">                                                                                        GE- International Journal of Engineering Research (GE-IJER)</w:t>
    </w:r>
  </w:p>
  <w:p w:rsidR="006F4008" w:rsidRPr="00567152" w:rsidRDefault="006F4008" w:rsidP="006F4008">
    <w:pPr>
      <w:pStyle w:val="Footer"/>
      <w:pBdr>
        <w:top w:val="thinThickSmallGap" w:sz="24" w:space="1" w:color="622423" w:themeColor="accent2" w:themeShade="7F"/>
      </w:pBdr>
      <w:rPr>
        <w:rFonts w:ascii="Times New Roman" w:hAnsi="Times New Roman" w:cs="Times New Roman"/>
        <w:color w:val="002060"/>
      </w:rPr>
    </w:pPr>
    <w:r w:rsidRPr="00567152">
      <w:rPr>
        <w:rFonts w:ascii="Times New Roman" w:hAnsi="Times New Roman" w:cs="Times New Roman"/>
        <w:color w:val="002060"/>
      </w:rPr>
      <w:t xml:space="preserve">                  Website: </w:t>
    </w:r>
    <w:hyperlink r:id="rId1" w:history="1">
      <w:r w:rsidRPr="00567152">
        <w:rPr>
          <w:rStyle w:val="Hyperlink"/>
          <w:rFonts w:ascii="Times New Roman" w:hAnsi="Times New Roman" w:cs="Times New Roman"/>
          <w:color w:val="002060"/>
        </w:rPr>
        <w:t>www.aarf.asia</w:t>
      </w:r>
    </w:hyperlink>
    <w:r w:rsidRPr="00567152">
      <w:rPr>
        <w:rFonts w:ascii="Times New Roman" w:hAnsi="Times New Roman" w:cs="Times New Roman"/>
        <w:color w:val="002060"/>
      </w:rPr>
      <w:t xml:space="preserve">. Email: </w:t>
    </w:r>
    <w:hyperlink r:id="rId2" w:history="1">
      <w:r w:rsidRPr="00567152">
        <w:rPr>
          <w:rStyle w:val="Hyperlink"/>
          <w:rFonts w:ascii="Times New Roman" w:hAnsi="Times New Roman" w:cs="Times New Roman"/>
          <w:color w:val="002060"/>
        </w:rPr>
        <w:t>editoraarf@gmail.com</w:t>
      </w:r>
    </w:hyperlink>
    <w:r w:rsidRPr="00567152">
      <w:rPr>
        <w:rFonts w:ascii="Times New Roman" w:hAnsi="Times New Roman" w:cs="Times New Roman"/>
        <w:color w:val="002060"/>
      </w:rPr>
      <w:t xml:space="preserve"> , </w:t>
    </w:r>
    <w:hyperlink r:id="rId3" w:history="1">
      <w:r w:rsidRPr="00567152">
        <w:rPr>
          <w:rStyle w:val="Hyperlink"/>
          <w:rFonts w:ascii="Times New Roman" w:hAnsi="Times New Roman" w:cs="Times New Roman"/>
          <w:color w:val="002060"/>
        </w:rPr>
        <w:t>editor@aarf.asia</w:t>
      </w:r>
    </w:hyperlink>
    <w:r w:rsidRPr="00567152">
      <w:rPr>
        <w:rFonts w:ascii="Times New Roman" w:hAnsi="Times New Roman" w:cs="Times New Roman"/>
        <w:color w:val="002060"/>
      </w:rPr>
      <w:ptab w:relativeTo="margin" w:alignment="right" w:leader="none"/>
    </w:r>
  </w:p>
  <w:p w:rsidR="006F4008" w:rsidRPr="00567152" w:rsidRDefault="006F4008" w:rsidP="006F4008">
    <w:pPr>
      <w:pStyle w:val="Footer"/>
      <w:pBdr>
        <w:top w:val="thinThickSmallGap" w:sz="24" w:space="1" w:color="622423" w:themeColor="accent2" w:themeShade="7F"/>
      </w:pBdr>
      <w:rPr>
        <w:rFonts w:ascii="Times New Roman" w:hAnsi="Times New Roman" w:cs="Times New Roman"/>
        <w:color w:val="002060"/>
      </w:rPr>
    </w:pPr>
    <w:r w:rsidRPr="00567152">
      <w:rPr>
        <w:rFonts w:ascii="Times New Roman" w:hAnsi="Times New Roman" w:cs="Times New Roman"/>
        <w:color w:val="002060"/>
      </w:rPr>
      <w:tab/>
    </w:r>
    <w:r w:rsidRPr="00567152">
      <w:rPr>
        <w:rFonts w:ascii="Times New Roman" w:hAnsi="Times New Roman" w:cs="Times New Roman"/>
        <w:color w:val="002060"/>
      </w:rPr>
      <w:tab/>
      <w:t xml:space="preserve">Page </w:t>
    </w:r>
    <w:r w:rsidR="00EE7324" w:rsidRPr="00567152">
      <w:rPr>
        <w:rFonts w:ascii="Times New Roman" w:hAnsi="Times New Roman" w:cs="Times New Roman"/>
        <w:color w:val="002060"/>
      </w:rPr>
      <w:fldChar w:fldCharType="begin"/>
    </w:r>
    <w:r w:rsidRPr="00567152">
      <w:rPr>
        <w:rFonts w:ascii="Times New Roman" w:hAnsi="Times New Roman" w:cs="Times New Roman"/>
        <w:color w:val="002060"/>
      </w:rPr>
      <w:instrText xml:space="preserve"> PAGE   \* MERGEFORMAT </w:instrText>
    </w:r>
    <w:r w:rsidR="00EE7324" w:rsidRPr="00567152">
      <w:rPr>
        <w:rFonts w:ascii="Times New Roman" w:hAnsi="Times New Roman" w:cs="Times New Roman"/>
        <w:color w:val="002060"/>
      </w:rPr>
      <w:fldChar w:fldCharType="separate"/>
    </w:r>
    <w:r w:rsidR="00875940">
      <w:rPr>
        <w:rFonts w:ascii="Times New Roman" w:hAnsi="Times New Roman" w:cs="Times New Roman"/>
        <w:noProof/>
        <w:color w:val="002060"/>
      </w:rPr>
      <w:t>11</w:t>
    </w:r>
    <w:r w:rsidR="00EE7324" w:rsidRPr="00567152">
      <w:rPr>
        <w:rFonts w:ascii="Times New Roman" w:hAnsi="Times New Roman" w:cs="Times New Roman"/>
        <w:color w:val="00206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792" w:rsidRDefault="002D6792" w:rsidP="000747F3">
      <w:pPr>
        <w:spacing w:after="0" w:line="240" w:lineRule="auto"/>
      </w:pPr>
      <w:r>
        <w:separator/>
      </w:r>
    </w:p>
  </w:footnote>
  <w:footnote w:type="continuationSeparator" w:id="1">
    <w:p w:rsidR="002D6792" w:rsidRDefault="002D6792" w:rsidP="00074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08" w:rsidRPr="00567152" w:rsidRDefault="006F4008" w:rsidP="006F4008">
    <w:pPr>
      <w:pStyle w:val="Header"/>
      <w:pBdr>
        <w:bottom w:val="thickThinSmallGap" w:sz="24" w:space="1" w:color="622423" w:themeColor="accent2" w:themeShade="7F"/>
      </w:pBdr>
      <w:jc w:val="center"/>
      <w:rPr>
        <w:rFonts w:ascii="Times New Roman" w:eastAsiaTheme="majorEastAsia" w:hAnsi="Times New Roman" w:cs="Times New Roman"/>
        <w:color w:val="002060"/>
        <w:sz w:val="30"/>
        <w:szCs w:val="32"/>
      </w:rPr>
    </w:pPr>
    <w:r w:rsidRPr="00567152">
      <w:rPr>
        <w:rFonts w:ascii="Times New Roman" w:eastAsiaTheme="majorEastAsia" w:hAnsi="Times New Roman" w:cs="Times New Roman"/>
        <w:b/>
        <w:color w:val="002060"/>
        <w:sz w:val="28"/>
        <w:szCs w:val="32"/>
      </w:rPr>
      <w:t>GE-INTERNATIONAL JOURNAL OF ENGINEERING RE</w:t>
    </w:r>
    <w:r>
      <w:rPr>
        <w:rFonts w:ascii="Times New Roman" w:eastAsiaTheme="majorEastAsia" w:hAnsi="Times New Roman" w:cs="Times New Roman"/>
        <w:b/>
        <w:color w:val="002060"/>
        <w:sz w:val="28"/>
        <w:szCs w:val="32"/>
      </w:rPr>
      <w:t>SEARCH VOLUME -2, ISSUE -10</w:t>
    </w:r>
    <w:r w:rsidRPr="00567152">
      <w:rPr>
        <w:rFonts w:ascii="Times New Roman" w:eastAsiaTheme="majorEastAsia" w:hAnsi="Times New Roman" w:cs="Times New Roman"/>
        <w:b/>
        <w:color w:val="002060"/>
        <w:sz w:val="28"/>
        <w:szCs w:val="32"/>
      </w:rPr>
      <w:t xml:space="preserve"> (</w:t>
    </w:r>
    <w:r>
      <w:rPr>
        <w:rFonts w:ascii="Times New Roman" w:eastAsiaTheme="majorEastAsia" w:hAnsi="Times New Roman" w:cs="Times New Roman"/>
        <w:b/>
        <w:color w:val="002060"/>
        <w:sz w:val="28"/>
        <w:szCs w:val="32"/>
      </w:rPr>
      <w:t>December</w:t>
    </w:r>
    <w:r w:rsidRPr="00567152">
      <w:rPr>
        <w:rFonts w:ascii="Times New Roman" w:eastAsiaTheme="majorEastAsia" w:hAnsi="Times New Roman" w:cs="Times New Roman"/>
        <w:b/>
        <w:color w:val="002060"/>
        <w:sz w:val="28"/>
        <w:szCs w:val="32"/>
      </w:rPr>
      <w:t xml:space="preserve"> 2014)      IF-3.022        ISSN: (2321-1717)</w:t>
    </w:r>
  </w:p>
  <w:p w:rsidR="006F4008" w:rsidRDefault="006F40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B1B"/>
    <w:multiLevelType w:val="hybridMultilevel"/>
    <w:tmpl w:val="74508040"/>
    <w:lvl w:ilvl="0" w:tplc="0C0C8CDC">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5299C"/>
    <w:multiLevelType w:val="hybridMultilevel"/>
    <w:tmpl w:val="92426F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27618"/>
    <w:multiLevelType w:val="hybridMultilevel"/>
    <w:tmpl w:val="793EBF92"/>
    <w:lvl w:ilvl="0" w:tplc="A3EE713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26AC8"/>
    <w:multiLevelType w:val="hybridMultilevel"/>
    <w:tmpl w:val="793EBF92"/>
    <w:lvl w:ilvl="0" w:tplc="A3EE713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807F9"/>
    <w:multiLevelType w:val="hybridMultilevel"/>
    <w:tmpl w:val="793EBF92"/>
    <w:lvl w:ilvl="0" w:tplc="A3EE713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53BAC"/>
    <w:multiLevelType w:val="hybridMultilevel"/>
    <w:tmpl w:val="9AD45024"/>
    <w:lvl w:ilvl="0" w:tplc="A3EE7134">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A726AE7"/>
    <w:multiLevelType w:val="hybridMultilevel"/>
    <w:tmpl w:val="793EBF92"/>
    <w:lvl w:ilvl="0" w:tplc="A3EE713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05193D"/>
    <w:multiLevelType w:val="hybridMultilevel"/>
    <w:tmpl w:val="A94C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FA3943"/>
    <w:multiLevelType w:val="hybridMultilevel"/>
    <w:tmpl w:val="C966F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4E1ABD"/>
    <w:multiLevelType w:val="hybridMultilevel"/>
    <w:tmpl w:val="A1BE9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2"/>
  </w:num>
  <w:num w:numId="6">
    <w:abstractNumId w:val="5"/>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74B7"/>
    <w:rsid w:val="00002E71"/>
    <w:rsid w:val="000050E8"/>
    <w:rsid w:val="00005EDB"/>
    <w:rsid w:val="00006D02"/>
    <w:rsid w:val="000070F0"/>
    <w:rsid w:val="00010C09"/>
    <w:rsid w:val="000153B0"/>
    <w:rsid w:val="00016618"/>
    <w:rsid w:val="000208ED"/>
    <w:rsid w:val="0002259E"/>
    <w:rsid w:val="00022FA7"/>
    <w:rsid w:val="000233FF"/>
    <w:rsid w:val="00024608"/>
    <w:rsid w:val="000277DD"/>
    <w:rsid w:val="000313B6"/>
    <w:rsid w:val="00033A1A"/>
    <w:rsid w:val="00034BBF"/>
    <w:rsid w:val="00035719"/>
    <w:rsid w:val="00043968"/>
    <w:rsid w:val="00044159"/>
    <w:rsid w:val="00046D8A"/>
    <w:rsid w:val="00052078"/>
    <w:rsid w:val="00052D1C"/>
    <w:rsid w:val="000534F7"/>
    <w:rsid w:val="000615A6"/>
    <w:rsid w:val="00064256"/>
    <w:rsid w:val="0006456D"/>
    <w:rsid w:val="0006481C"/>
    <w:rsid w:val="00066D4B"/>
    <w:rsid w:val="000708B3"/>
    <w:rsid w:val="000747F3"/>
    <w:rsid w:val="00083852"/>
    <w:rsid w:val="00084BE5"/>
    <w:rsid w:val="000863D3"/>
    <w:rsid w:val="00091D81"/>
    <w:rsid w:val="000933A7"/>
    <w:rsid w:val="00094F15"/>
    <w:rsid w:val="000A196F"/>
    <w:rsid w:val="000A4B66"/>
    <w:rsid w:val="000A7D38"/>
    <w:rsid w:val="000B4288"/>
    <w:rsid w:val="000B4B5B"/>
    <w:rsid w:val="000B4C8D"/>
    <w:rsid w:val="000B6387"/>
    <w:rsid w:val="000B6D64"/>
    <w:rsid w:val="000C05E7"/>
    <w:rsid w:val="000C1806"/>
    <w:rsid w:val="000C370F"/>
    <w:rsid w:val="000D2867"/>
    <w:rsid w:val="000D4A06"/>
    <w:rsid w:val="000D5517"/>
    <w:rsid w:val="000E0A26"/>
    <w:rsid w:val="000E386D"/>
    <w:rsid w:val="000F1199"/>
    <w:rsid w:val="000F1F3B"/>
    <w:rsid w:val="000F23CA"/>
    <w:rsid w:val="000F54D2"/>
    <w:rsid w:val="001023A7"/>
    <w:rsid w:val="001031B2"/>
    <w:rsid w:val="0011220B"/>
    <w:rsid w:val="00112303"/>
    <w:rsid w:val="001150B9"/>
    <w:rsid w:val="00116A0C"/>
    <w:rsid w:val="0013188D"/>
    <w:rsid w:val="00135AFD"/>
    <w:rsid w:val="00140821"/>
    <w:rsid w:val="00146F99"/>
    <w:rsid w:val="00152255"/>
    <w:rsid w:val="00153CE2"/>
    <w:rsid w:val="00153D38"/>
    <w:rsid w:val="00157C6A"/>
    <w:rsid w:val="00161CA1"/>
    <w:rsid w:val="001634EE"/>
    <w:rsid w:val="001639B3"/>
    <w:rsid w:val="001641C0"/>
    <w:rsid w:val="00170B08"/>
    <w:rsid w:val="00170FA6"/>
    <w:rsid w:val="00172B8A"/>
    <w:rsid w:val="00174695"/>
    <w:rsid w:val="00175D98"/>
    <w:rsid w:val="00175EDA"/>
    <w:rsid w:val="00177B05"/>
    <w:rsid w:val="001808A1"/>
    <w:rsid w:val="00180D31"/>
    <w:rsid w:val="001922C4"/>
    <w:rsid w:val="001927D5"/>
    <w:rsid w:val="0019305B"/>
    <w:rsid w:val="00194601"/>
    <w:rsid w:val="001947EE"/>
    <w:rsid w:val="00195D02"/>
    <w:rsid w:val="00197D2E"/>
    <w:rsid w:val="001A3957"/>
    <w:rsid w:val="001A55D6"/>
    <w:rsid w:val="001B129D"/>
    <w:rsid w:val="001B6C49"/>
    <w:rsid w:val="001C1759"/>
    <w:rsid w:val="001C4119"/>
    <w:rsid w:val="001C5DAB"/>
    <w:rsid w:val="001D1952"/>
    <w:rsid w:val="001D2A12"/>
    <w:rsid w:val="001D49A4"/>
    <w:rsid w:val="001D51B7"/>
    <w:rsid w:val="001D6008"/>
    <w:rsid w:val="001D79A1"/>
    <w:rsid w:val="001E0724"/>
    <w:rsid w:val="001E1F1E"/>
    <w:rsid w:val="001E4006"/>
    <w:rsid w:val="001E40CA"/>
    <w:rsid w:val="001E6625"/>
    <w:rsid w:val="001E735A"/>
    <w:rsid w:val="001E7C78"/>
    <w:rsid w:val="001F4EDF"/>
    <w:rsid w:val="001F5B2C"/>
    <w:rsid w:val="002025D2"/>
    <w:rsid w:val="00206FF6"/>
    <w:rsid w:val="00207106"/>
    <w:rsid w:val="002105B8"/>
    <w:rsid w:val="00214B07"/>
    <w:rsid w:val="00214B8C"/>
    <w:rsid w:val="00216CDF"/>
    <w:rsid w:val="00223780"/>
    <w:rsid w:val="00223CE2"/>
    <w:rsid w:val="00225828"/>
    <w:rsid w:val="002260AC"/>
    <w:rsid w:val="00234524"/>
    <w:rsid w:val="00234B15"/>
    <w:rsid w:val="00234B59"/>
    <w:rsid w:val="00240933"/>
    <w:rsid w:val="002422B6"/>
    <w:rsid w:val="00242B3F"/>
    <w:rsid w:val="0024452F"/>
    <w:rsid w:val="00244D92"/>
    <w:rsid w:val="00250FA6"/>
    <w:rsid w:val="002513E1"/>
    <w:rsid w:val="00252B71"/>
    <w:rsid w:val="00254757"/>
    <w:rsid w:val="00255FC1"/>
    <w:rsid w:val="00256D30"/>
    <w:rsid w:val="00256F76"/>
    <w:rsid w:val="0026123D"/>
    <w:rsid w:val="002647F6"/>
    <w:rsid w:val="002669FC"/>
    <w:rsid w:val="0026741A"/>
    <w:rsid w:val="00275C78"/>
    <w:rsid w:val="00275CC4"/>
    <w:rsid w:val="0028153C"/>
    <w:rsid w:val="00285E6E"/>
    <w:rsid w:val="002869AE"/>
    <w:rsid w:val="002869F3"/>
    <w:rsid w:val="0028781C"/>
    <w:rsid w:val="00287F14"/>
    <w:rsid w:val="0029517E"/>
    <w:rsid w:val="00295388"/>
    <w:rsid w:val="00296FA4"/>
    <w:rsid w:val="002A3221"/>
    <w:rsid w:val="002A35DF"/>
    <w:rsid w:val="002A68E9"/>
    <w:rsid w:val="002B0E58"/>
    <w:rsid w:val="002B2C00"/>
    <w:rsid w:val="002B3F43"/>
    <w:rsid w:val="002B4649"/>
    <w:rsid w:val="002B5BD2"/>
    <w:rsid w:val="002B5D8C"/>
    <w:rsid w:val="002D33BA"/>
    <w:rsid w:val="002D37E1"/>
    <w:rsid w:val="002D5A1C"/>
    <w:rsid w:val="002D6792"/>
    <w:rsid w:val="002D6871"/>
    <w:rsid w:val="002D7FF5"/>
    <w:rsid w:val="002E33B8"/>
    <w:rsid w:val="002E4AD6"/>
    <w:rsid w:val="002F1B54"/>
    <w:rsid w:val="002F1DAA"/>
    <w:rsid w:val="002F2FBC"/>
    <w:rsid w:val="002F5A5A"/>
    <w:rsid w:val="00300DBE"/>
    <w:rsid w:val="003065B7"/>
    <w:rsid w:val="00306F5F"/>
    <w:rsid w:val="00307A9E"/>
    <w:rsid w:val="0031173A"/>
    <w:rsid w:val="00313E8A"/>
    <w:rsid w:val="003163A4"/>
    <w:rsid w:val="00317E12"/>
    <w:rsid w:val="00320F48"/>
    <w:rsid w:val="00321812"/>
    <w:rsid w:val="003231D1"/>
    <w:rsid w:val="00323FEA"/>
    <w:rsid w:val="00332684"/>
    <w:rsid w:val="00342B31"/>
    <w:rsid w:val="00350F9E"/>
    <w:rsid w:val="0035145B"/>
    <w:rsid w:val="0035455D"/>
    <w:rsid w:val="00354565"/>
    <w:rsid w:val="00354BE3"/>
    <w:rsid w:val="0036182E"/>
    <w:rsid w:val="003627E6"/>
    <w:rsid w:val="00362C92"/>
    <w:rsid w:val="00366144"/>
    <w:rsid w:val="00367F0D"/>
    <w:rsid w:val="00370A47"/>
    <w:rsid w:val="00372AAC"/>
    <w:rsid w:val="00381451"/>
    <w:rsid w:val="00382B6E"/>
    <w:rsid w:val="00387BD6"/>
    <w:rsid w:val="00394E59"/>
    <w:rsid w:val="003A0FF4"/>
    <w:rsid w:val="003A2081"/>
    <w:rsid w:val="003A229C"/>
    <w:rsid w:val="003A7D57"/>
    <w:rsid w:val="003C1F71"/>
    <w:rsid w:val="003C3FCE"/>
    <w:rsid w:val="003C4D90"/>
    <w:rsid w:val="003C55F1"/>
    <w:rsid w:val="003C5996"/>
    <w:rsid w:val="003C63D7"/>
    <w:rsid w:val="003E0637"/>
    <w:rsid w:val="003E2932"/>
    <w:rsid w:val="003F051B"/>
    <w:rsid w:val="003F219B"/>
    <w:rsid w:val="003F68F4"/>
    <w:rsid w:val="00400B6E"/>
    <w:rsid w:val="00402A55"/>
    <w:rsid w:val="004062B3"/>
    <w:rsid w:val="004065FD"/>
    <w:rsid w:val="004115F8"/>
    <w:rsid w:val="00411714"/>
    <w:rsid w:val="004306C9"/>
    <w:rsid w:val="00430AC7"/>
    <w:rsid w:val="0043122E"/>
    <w:rsid w:val="004328E8"/>
    <w:rsid w:val="00435CD1"/>
    <w:rsid w:val="0044158B"/>
    <w:rsid w:val="0044232C"/>
    <w:rsid w:val="00445040"/>
    <w:rsid w:val="00447B25"/>
    <w:rsid w:val="004506A0"/>
    <w:rsid w:val="004561B4"/>
    <w:rsid w:val="00457006"/>
    <w:rsid w:val="004633A4"/>
    <w:rsid w:val="0046786B"/>
    <w:rsid w:val="00467FCA"/>
    <w:rsid w:val="0047247C"/>
    <w:rsid w:val="00475350"/>
    <w:rsid w:val="00475D32"/>
    <w:rsid w:val="00477B79"/>
    <w:rsid w:val="00477BA6"/>
    <w:rsid w:val="00480633"/>
    <w:rsid w:val="00487445"/>
    <w:rsid w:val="004935D7"/>
    <w:rsid w:val="004943AA"/>
    <w:rsid w:val="00494B25"/>
    <w:rsid w:val="00495856"/>
    <w:rsid w:val="00497B69"/>
    <w:rsid w:val="00497C1C"/>
    <w:rsid w:val="004A2F25"/>
    <w:rsid w:val="004A7B75"/>
    <w:rsid w:val="004B354F"/>
    <w:rsid w:val="004B51B8"/>
    <w:rsid w:val="004B5CAB"/>
    <w:rsid w:val="004B5E21"/>
    <w:rsid w:val="004B6C8E"/>
    <w:rsid w:val="004B7B6E"/>
    <w:rsid w:val="004C083D"/>
    <w:rsid w:val="004C6EBD"/>
    <w:rsid w:val="004D3CA3"/>
    <w:rsid w:val="004E083E"/>
    <w:rsid w:val="004E3891"/>
    <w:rsid w:val="004E48E6"/>
    <w:rsid w:val="004E49A3"/>
    <w:rsid w:val="004E69CD"/>
    <w:rsid w:val="004E7450"/>
    <w:rsid w:val="004F1962"/>
    <w:rsid w:val="004F354A"/>
    <w:rsid w:val="004F68C7"/>
    <w:rsid w:val="004F735A"/>
    <w:rsid w:val="005027CD"/>
    <w:rsid w:val="00505C90"/>
    <w:rsid w:val="005076F7"/>
    <w:rsid w:val="00511984"/>
    <w:rsid w:val="00511B41"/>
    <w:rsid w:val="00512D51"/>
    <w:rsid w:val="00514443"/>
    <w:rsid w:val="00514BB6"/>
    <w:rsid w:val="00516037"/>
    <w:rsid w:val="00524A3F"/>
    <w:rsid w:val="005279D7"/>
    <w:rsid w:val="00527A8B"/>
    <w:rsid w:val="00533D30"/>
    <w:rsid w:val="00535065"/>
    <w:rsid w:val="00535E00"/>
    <w:rsid w:val="005422AC"/>
    <w:rsid w:val="00544F6F"/>
    <w:rsid w:val="00545C84"/>
    <w:rsid w:val="0055118B"/>
    <w:rsid w:val="0057034A"/>
    <w:rsid w:val="005742A4"/>
    <w:rsid w:val="00596DD2"/>
    <w:rsid w:val="005A17BD"/>
    <w:rsid w:val="005A2140"/>
    <w:rsid w:val="005A2972"/>
    <w:rsid w:val="005A2BFF"/>
    <w:rsid w:val="005A362F"/>
    <w:rsid w:val="005A3E27"/>
    <w:rsid w:val="005A7937"/>
    <w:rsid w:val="005B5B4C"/>
    <w:rsid w:val="005B5EC8"/>
    <w:rsid w:val="005B5FB5"/>
    <w:rsid w:val="005C32E6"/>
    <w:rsid w:val="005C5089"/>
    <w:rsid w:val="005D00AD"/>
    <w:rsid w:val="005D498E"/>
    <w:rsid w:val="005D5E54"/>
    <w:rsid w:val="005E004A"/>
    <w:rsid w:val="005E41A3"/>
    <w:rsid w:val="005E6E93"/>
    <w:rsid w:val="00600A9A"/>
    <w:rsid w:val="00600B2D"/>
    <w:rsid w:val="00601B8D"/>
    <w:rsid w:val="006040B5"/>
    <w:rsid w:val="00606312"/>
    <w:rsid w:val="00606FAD"/>
    <w:rsid w:val="00616E5C"/>
    <w:rsid w:val="006208F4"/>
    <w:rsid w:val="00623A9C"/>
    <w:rsid w:val="00627570"/>
    <w:rsid w:val="00640698"/>
    <w:rsid w:val="0064642D"/>
    <w:rsid w:val="006474C3"/>
    <w:rsid w:val="00651432"/>
    <w:rsid w:val="00652767"/>
    <w:rsid w:val="00652EC8"/>
    <w:rsid w:val="00656899"/>
    <w:rsid w:val="00656A4C"/>
    <w:rsid w:val="00664A0F"/>
    <w:rsid w:val="00666D93"/>
    <w:rsid w:val="00670FF5"/>
    <w:rsid w:val="00676D2E"/>
    <w:rsid w:val="00677378"/>
    <w:rsid w:val="006820E3"/>
    <w:rsid w:val="006823B2"/>
    <w:rsid w:val="00682BDF"/>
    <w:rsid w:val="006831AC"/>
    <w:rsid w:val="0068467F"/>
    <w:rsid w:val="00685F96"/>
    <w:rsid w:val="006869C0"/>
    <w:rsid w:val="00690ED8"/>
    <w:rsid w:val="00692AA0"/>
    <w:rsid w:val="00695B33"/>
    <w:rsid w:val="006A1A4D"/>
    <w:rsid w:val="006A2DCB"/>
    <w:rsid w:val="006B007D"/>
    <w:rsid w:val="006B0C84"/>
    <w:rsid w:val="006B195C"/>
    <w:rsid w:val="006B5467"/>
    <w:rsid w:val="006B5758"/>
    <w:rsid w:val="006B5D44"/>
    <w:rsid w:val="006B6A15"/>
    <w:rsid w:val="006B7522"/>
    <w:rsid w:val="006C2156"/>
    <w:rsid w:val="006C6E83"/>
    <w:rsid w:val="006D1752"/>
    <w:rsid w:val="006D1F60"/>
    <w:rsid w:val="006D39FA"/>
    <w:rsid w:val="006D3A13"/>
    <w:rsid w:val="006E03C7"/>
    <w:rsid w:val="006E09A5"/>
    <w:rsid w:val="006E1389"/>
    <w:rsid w:val="006E597A"/>
    <w:rsid w:val="006E5B0D"/>
    <w:rsid w:val="006E6273"/>
    <w:rsid w:val="006F16DF"/>
    <w:rsid w:val="006F4008"/>
    <w:rsid w:val="006F7D2F"/>
    <w:rsid w:val="007064DA"/>
    <w:rsid w:val="00712259"/>
    <w:rsid w:val="00714FAF"/>
    <w:rsid w:val="00726757"/>
    <w:rsid w:val="00726E26"/>
    <w:rsid w:val="007273E3"/>
    <w:rsid w:val="00733FC1"/>
    <w:rsid w:val="007370DB"/>
    <w:rsid w:val="00737778"/>
    <w:rsid w:val="00742AB8"/>
    <w:rsid w:val="00744D33"/>
    <w:rsid w:val="00762033"/>
    <w:rsid w:val="007647D4"/>
    <w:rsid w:val="00767091"/>
    <w:rsid w:val="00771138"/>
    <w:rsid w:val="00771A21"/>
    <w:rsid w:val="00772BF2"/>
    <w:rsid w:val="00773856"/>
    <w:rsid w:val="00777E75"/>
    <w:rsid w:val="00780AE9"/>
    <w:rsid w:val="00781A8D"/>
    <w:rsid w:val="00786ED0"/>
    <w:rsid w:val="00787B83"/>
    <w:rsid w:val="00793C3D"/>
    <w:rsid w:val="00794BA2"/>
    <w:rsid w:val="007A4C59"/>
    <w:rsid w:val="007A4D4A"/>
    <w:rsid w:val="007A5213"/>
    <w:rsid w:val="007A664A"/>
    <w:rsid w:val="007B00C1"/>
    <w:rsid w:val="007B02F3"/>
    <w:rsid w:val="007B2138"/>
    <w:rsid w:val="007B219C"/>
    <w:rsid w:val="007B3DE8"/>
    <w:rsid w:val="007B4E9F"/>
    <w:rsid w:val="007B561C"/>
    <w:rsid w:val="007B78A5"/>
    <w:rsid w:val="007C0FE1"/>
    <w:rsid w:val="007C42EB"/>
    <w:rsid w:val="007C4AF8"/>
    <w:rsid w:val="007E0B67"/>
    <w:rsid w:val="007E3D2A"/>
    <w:rsid w:val="007E67E8"/>
    <w:rsid w:val="00801C8F"/>
    <w:rsid w:val="00803113"/>
    <w:rsid w:val="00805182"/>
    <w:rsid w:val="008056A8"/>
    <w:rsid w:val="008069D4"/>
    <w:rsid w:val="008109CC"/>
    <w:rsid w:val="0081143A"/>
    <w:rsid w:val="00811A5A"/>
    <w:rsid w:val="00811C68"/>
    <w:rsid w:val="00813E91"/>
    <w:rsid w:val="00816139"/>
    <w:rsid w:val="00820171"/>
    <w:rsid w:val="008209F8"/>
    <w:rsid w:val="0082279E"/>
    <w:rsid w:val="00827721"/>
    <w:rsid w:val="008349B5"/>
    <w:rsid w:val="00834CEF"/>
    <w:rsid w:val="008364B3"/>
    <w:rsid w:val="00845416"/>
    <w:rsid w:val="00847815"/>
    <w:rsid w:val="00854443"/>
    <w:rsid w:val="00854D3C"/>
    <w:rsid w:val="008620C0"/>
    <w:rsid w:val="00862BA1"/>
    <w:rsid w:val="00867F8D"/>
    <w:rsid w:val="008705B5"/>
    <w:rsid w:val="0087280A"/>
    <w:rsid w:val="00875940"/>
    <w:rsid w:val="00877437"/>
    <w:rsid w:val="00880B79"/>
    <w:rsid w:val="00885702"/>
    <w:rsid w:val="00886FCB"/>
    <w:rsid w:val="00887C72"/>
    <w:rsid w:val="00887D8C"/>
    <w:rsid w:val="0089204C"/>
    <w:rsid w:val="008A4430"/>
    <w:rsid w:val="008A5048"/>
    <w:rsid w:val="008A7F52"/>
    <w:rsid w:val="008B0E37"/>
    <w:rsid w:val="008B242D"/>
    <w:rsid w:val="008B41A8"/>
    <w:rsid w:val="008B5F67"/>
    <w:rsid w:val="008B7D1A"/>
    <w:rsid w:val="008D35BE"/>
    <w:rsid w:val="008D3AA0"/>
    <w:rsid w:val="008D3FB2"/>
    <w:rsid w:val="008D54DA"/>
    <w:rsid w:val="008D63C4"/>
    <w:rsid w:val="008D7CA4"/>
    <w:rsid w:val="008E0F5D"/>
    <w:rsid w:val="008E14B2"/>
    <w:rsid w:val="008F0A7E"/>
    <w:rsid w:val="008F350A"/>
    <w:rsid w:val="008F51E3"/>
    <w:rsid w:val="00901317"/>
    <w:rsid w:val="0090328B"/>
    <w:rsid w:val="009144CF"/>
    <w:rsid w:val="009148CB"/>
    <w:rsid w:val="009178CE"/>
    <w:rsid w:val="00927A50"/>
    <w:rsid w:val="009334C0"/>
    <w:rsid w:val="00936622"/>
    <w:rsid w:val="00940C89"/>
    <w:rsid w:val="009423F3"/>
    <w:rsid w:val="00942BEF"/>
    <w:rsid w:val="00943F17"/>
    <w:rsid w:val="009477BE"/>
    <w:rsid w:val="00951CC1"/>
    <w:rsid w:val="009530E5"/>
    <w:rsid w:val="00953BF2"/>
    <w:rsid w:val="009552F2"/>
    <w:rsid w:val="00962D14"/>
    <w:rsid w:val="0097227F"/>
    <w:rsid w:val="0097297C"/>
    <w:rsid w:val="00973E9C"/>
    <w:rsid w:val="009808FC"/>
    <w:rsid w:val="009823FF"/>
    <w:rsid w:val="00982FC3"/>
    <w:rsid w:val="009857B7"/>
    <w:rsid w:val="009860BA"/>
    <w:rsid w:val="0099432A"/>
    <w:rsid w:val="009978CE"/>
    <w:rsid w:val="009A0014"/>
    <w:rsid w:val="009A13C2"/>
    <w:rsid w:val="009C0826"/>
    <w:rsid w:val="009C096C"/>
    <w:rsid w:val="009C2E3E"/>
    <w:rsid w:val="009C5D6E"/>
    <w:rsid w:val="009C678F"/>
    <w:rsid w:val="009C6EB6"/>
    <w:rsid w:val="009D2BFD"/>
    <w:rsid w:val="009D5BE9"/>
    <w:rsid w:val="009E1660"/>
    <w:rsid w:val="00A01581"/>
    <w:rsid w:val="00A01C48"/>
    <w:rsid w:val="00A02748"/>
    <w:rsid w:val="00A04BCF"/>
    <w:rsid w:val="00A06610"/>
    <w:rsid w:val="00A12A72"/>
    <w:rsid w:val="00A169BC"/>
    <w:rsid w:val="00A22A8D"/>
    <w:rsid w:val="00A24A96"/>
    <w:rsid w:val="00A270D4"/>
    <w:rsid w:val="00A32BFE"/>
    <w:rsid w:val="00A40708"/>
    <w:rsid w:val="00A43521"/>
    <w:rsid w:val="00A44A44"/>
    <w:rsid w:val="00A54AC3"/>
    <w:rsid w:val="00A60E46"/>
    <w:rsid w:val="00A62479"/>
    <w:rsid w:val="00A64C6F"/>
    <w:rsid w:val="00A75658"/>
    <w:rsid w:val="00A76763"/>
    <w:rsid w:val="00A77678"/>
    <w:rsid w:val="00A80550"/>
    <w:rsid w:val="00A81067"/>
    <w:rsid w:val="00A9625A"/>
    <w:rsid w:val="00A97E8C"/>
    <w:rsid w:val="00AA22BF"/>
    <w:rsid w:val="00AA2779"/>
    <w:rsid w:val="00AA3568"/>
    <w:rsid w:val="00AA7DAC"/>
    <w:rsid w:val="00AB2F12"/>
    <w:rsid w:val="00AC64E5"/>
    <w:rsid w:val="00AD184B"/>
    <w:rsid w:val="00AD44AC"/>
    <w:rsid w:val="00AE6AFB"/>
    <w:rsid w:val="00AE6BDE"/>
    <w:rsid w:val="00AE7796"/>
    <w:rsid w:val="00AE7C51"/>
    <w:rsid w:val="00AF18CC"/>
    <w:rsid w:val="00AF237C"/>
    <w:rsid w:val="00AF2847"/>
    <w:rsid w:val="00AF4D05"/>
    <w:rsid w:val="00AF6AF9"/>
    <w:rsid w:val="00AF7114"/>
    <w:rsid w:val="00B01342"/>
    <w:rsid w:val="00B0335A"/>
    <w:rsid w:val="00B0582E"/>
    <w:rsid w:val="00B10DEB"/>
    <w:rsid w:val="00B110B6"/>
    <w:rsid w:val="00B12696"/>
    <w:rsid w:val="00B12915"/>
    <w:rsid w:val="00B160FE"/>
    <w:rsid w:val="00B1627F"/>
    <w:rsid w:val="00B17B0C"/>
    <w:rsid w:val="00B21BAD"/>
    <w:rsid w:val="00B37AFF"/>
    <w:rsid w:val="00B408C8"/>
    <w:rsid w:val="00B50054"/>
    <w:rsid w:val="00B5061A"/>
    <w:rsid w:val="00B51E1C"/>
    <w:rsid w:val="00B523F1"/>
    <w:rsid w:val="00B5455B"/>
    <w:rsid w:val="00B606B0"/>
    <w:rsid w:val="00B60CBA"/>
    <w:rsid w:val="00B61ED4"/>
    <w:rsid w:val="00B709DC"/>
    <w:rsid w:val="00B74B82"/>
    <w:rsid w:val="00B75845"/>
    <w:rsid w:val="00B804A0"/>
    <w:rsid w:val="00B80DF6"/>
    <w:rsid w:val="00B81087"/>
    <w:rsid w:val="00B824C3"/>
    <w:rsid w:val="00B867CF"/>
    <w:rsid w:val="00B87449"/>
    <w:rsid w:val="00B87FC5"/>
    <w:rsid w:val="00B975A4"/>
    <w:rsid w:val="00BA1529"/>
    <w:rsid w:val="00BA4A8D"/>
    <w:rsid w:val="00BB20E1"/>
    <w:rsid w:val="00BB46F5"/>
    <w:rsid w:val="00BC1D1A"/>
    <w:rsid w:val="00BD04D5"/>
    <w:rsid w:val="00BD45B3"/>
    <w:rsid w:val="00BD498E"/>
    <w:rsid w:val="00BE35ED"/>
    <w:rsid w:val="00BE7A52"/>
    <w:rsid w:val="00BE7FC1"/>
    <w:rsid w:val="00C008E1"/>
    <w:rsid w:val="00C05CB4"/>
    <w:rsid w:val="00C06E35"/>
    <w:rsid w:val="00C144F0"/>
    <w:rsid w:val="00C1456D"/>
    <w:rsid w:val="00C150EF"/>
    <w:rsid w:val="00C162EF"/>
    <w:rsid w:val="00C174B7"/>
    <w:rsid w:val="00C17EC3"/>
    <w:rsid w:val="00C2111F"/>
    <w:rsid w:val="00C2360E"/>
    <w:rsid w:val="00C24398"/>
    <w:rsid w:val="00C25721"/>
    <w:rsid w:val="00C31E7B"/>
    <w:rsid w:val="00C409A3"/>
    <w:rsid w:val="00C40C09"/>
    <w:rsid w:val="00C4359D"/>
    <w:rsid w:val="00C47284"/>
    <w:rsid w:val="00C52D9C"/>
    <w:rsid w:val="00C532E1"/>
    <w:rsid w:val="00C53E93"/>
    <w:rsid w:val="00C572CD"/>
    <w:rsid w:val="00C57596"/>
    <w:rsid w:val="00C6048C"/>
    <w:rsid w:val="00C6169F"/>
    <w:rsid w:val="00C61788"/>
    <w:rsid w:val="00C6213C"/>
    <w:rsid w:val="00C679EF"/>
    <w:rsid w:val="00C70AEF"/>
    <w:rsid w:val="00C72DBB"/>
    <w:rsid w:val="00C76896"/>
    <w:rsid w:val="00C80FB2"/>
    <w:rsid w:val="00C81ED4"/>
    <w:rsid w:val="00C83C1A"/>
    <w:rsid w:val="00C90F35"/>
    <w:rsid w:val="00C9232E"/>
    <w:rsid w:val="00C9335F"/>
    <w:rsid w:val="00C934FA"/>
    <w:rsid w:val="00C9742D"/>
    <w:rsid w:val="00C97500"/>
    <w:rsid w:val="00CA1648"/>
    <w:rsid w:val="00CA4DBE"/>
    <w:rsid w:val="00CA66A9"/>
    <w:rsid w:val="00CA6BBB"/>
    <w:rsid w:val="00CA74E6"/>
    <w:rsid w:val="00CB15B4"/>
    <w:rsid w:val="00CB3E0D"/>
    <w:rsid w:val="00CB40AD"/>
    <w:rsid w:val="00CB641B"/>
    <w:rsid w:val="00CB66FB"/>
    <w:rsid w:val="00CC324B"/>
    <w:rsid w:val="00CC59AD"/>
    <w:rsid w:val="00CD3543"/>
    <w:rsid w:val="00CD3FCB"/>
    <w:rsid w:val="00CD6266"/>
    <w:rsid w:val="00CD7046"/>
    <w:rsid w:val="00CE118A"/>
    <w:rsid w:val="00CE38CD"/>
    <w:rsid w:val="00CE4132"/>
    <w:rsid w:val="00CE48E1"/>
    <w:rsid w:val="00CE53E1"/>
    <w:rsid w:val="00CE55DB"/>
    <w:rsid w:val="00CE639C"/>
    <w:rsid w:val="00CE7C05"/>
    <w:rsid w:val="00CF2E9A"/>
    <w:rsid w:val="00CF77F7"/>
    <w:rsid w:val="00D023BF"/>
    <w:rsid w:val="00D0245C"/>
    <w:rsid w:val="00D075D9"/>
    <w:rsid w:val="00D07A77"/>
    <w:rsid w:val="00D13064"/>
    <w:rsid w:val="00D13EA1"/>
    <w:rsid w:val="00D14D43"/>
    <w:rsid w:val="00D1662B"/>
    <w:rsid w:val="00D20422"/>
    <w:rsid w:val="00D22B75"/>
    <w:rsid w:val="00D317ED"/>
    <w:rsid w:val="00D31A78"/>
    <w:rsid w:val="00D35D3B"/>
    <w:rsid w:val="00D363A6"/>
    <w:rsid w:val="00D44294"/>
    <w:rsid w:val="00D4694B"/>
    <w:rsid w:val="00D516B6"/>
    <w:rsid w:val="00D5223E"/>
    <w:rsid w:val="00D577BD"/>
    <w:rsid w:val="00D60A76"/>
    <w:rsid w:val="00D66D88"/>
    <w:rsid w:val="00D71953"/>
    <w:rsid w:val="00D73275"/>
    <w:rsid w:val="00D75C94"/>
    <w:rsid w:val="00D82E5C"/>
    <w:rsid w:val="00D83440"/>
    <w:rsid w:val="00D83971"/>
    <w:rsid w:val="00D90C97"/>
    <w:rsid w:val="00D94FE0"/>
    <w:rsid w:val="00D95508"/>
    <w:rsid w:val="00D96DA6"/>
    <w:rsid w:val="00DA04FC"/>
    <w:rsid w:val="00DA1EB1"/>
    <w:rsid w:val="00DA2766"/>
    <w:rsid w:val="00DA3081"/>
    <w:rsid w:val="00DA446D"/>
    <w:rsid w:val="00DA6441"/>
    <w:rsid w:val="00DA7236"/>
    <w:rsid w:val="00DB1B87"/>
    <w:rsid w:val="00DC1478"/>
    <w:rsid w:val="00DC2BCD"/>
    <w:rsid w:val="00DC6D9E"/>
    <w:rsid w:val="00DD0632"/>
    <w:rsid w:val="00DE26E6"/>
    <w:rsid w:val="00DE2F52"/>
    <w:rsid w:val="00DE3F32"/>
    <w:rsid w:val="00DF6CEF"/>
    <w:rsid w:val="00DF7645"/>
    <w:rsid w:val="00E0315F"/>
    <w:rsid w:val="00E03E54"/>
    <w:rsid w:val="00E0524D"/>
    <w:rsid w:val="00E0530A"/>
    <w:rsid w:val="00E078FA"/>
    <w:rsid w:val="00E12196"/>
    <w:rsid w:val="00E158FE"/>
    <w:rsid w:val="00E15A81"/>
    <w:rsid w:val="00E20561"/>
    <w:rsid w:val="00E21EB1"/>
    <w:rsid w:val="00E25163"/>
    <w:rsid w:val="00E2617C"/>
    <w:rsid w:val="00E26562"/>
    <w:rsid w:val="00E31872"/>
    <w:rsid w:val="00E327C4"/>
    <w:rsid w:val="00E43ADA"/>
    <w:rsid w:val="00E45B2F"/>
    <w:rsid w:val="00E5714F"/>
    <w:rsid w:val="00E57455"/>
    <w:rsid w:val="00E6188E"/>
    <w:rsid w:val="00E61CFE"/>
    <w:rsid w:val="00E64514"/>
    <w:rsid w:val="00E64792"/>
    <w:rsid w:val="00E656CA"/>
    <w:rsid w:val="00E706BB"/>
    <w:rsid w:val="00E816C1"/>
    <w:rsid w:val="00E832E3"/>
    <w:rsid w:val="00E90C75"/>
    <w:rsid w:val="00E9414D"/>
    <w:rsid w:val="00E94420"/>
    <w:rsid w:val="00E949BB"/>
    <w:rsid w:val="00E967CE"/>
    <w:rsid w:val="00E96FA6"/>
    <w:rsid w:val="00EA31A8"/>
    <w:rsid w:val="00EA5013"/>
    <w:rsid w:val="00EA77D2"/>
    <w:rsid w:val="00EB2CDF"/>
    <w:rsid w:val="00EB64EF"/>
    <w:rsid w:val="00EC0F1E"/>
    <w:rsid w:val="00EC4290"/>
    <w:rsid w:val="00ED1383"/>
    <w:rsid w:val="00ED1AC3"/>
    <w:rsid w:val="00ED285A"/>
    <w:rsid w:val="00ED395A"/>
    <w:rsid w:val="00ED5040"/>
    <w:rsid w:val="00EE0AB7"/>
    <w:rsid w:val="00EE0AEC"/>
    <w:rsid w:val="00EE22DE"/>
    <w:rsid w:val="00EE2490"/>
    <w:rsid w:val="00EE4C18"/>
    <w:rsid w:val="00EE7324"/>
    <w:rsid w:val="00EE7CAB"/>
    <w:rsid w:val="00EF1F2D"/>
    <w:rsid w:val="00EF28B9"/>
    <w:rsid w:val="00EF2C7A"/>
    <w:rsid w:val="00EF5778"/>
    <w:rsid w:val="00EF62CE"/>
    <w:rsid w:val="00F00049"/>
    <w:rsid w:val="00F0174A"/>
    <w:rsid w:val="00F06119"/>
    <w:rsid w:val="00F07DA2"/>
    <w:rsid w:val="00F11C42"/>
    <w:rsid w:val="00F13F35"/>
    <w:rsid w:val="00F16115"/>
    <w:rsid w:val="00F163FC"/>
    <w:rsid w:val="00F26F53"/>
    <w:rsid w:val="00F31D48"/>
    <w:rsid w:val="00F334FE"/>
    <w:rsid w:val="00F40BB3"/>
    <w:rsid w:val="00F474B0"/>
    <w:rsid w:val="00F54F1A"/>
    <w:rsid w:val="00F56250"/>
    <w:rsid w:val="00F56521"/>
    <w:rsid w:val="00F623B6"/>
    <w:rsid w:val="00F62606"/>
    <w:rsid w:val="00F63487"/>
    <w:rsid w:val="00F66234"/>
    <w:rsid w:val="00F723AB"/>
    <w:rsid w:val="00F825DF"/>
    <w:rsid w:val="00F84A03"/>
    <w:rsid w:val="00F84C2B"/>
    <w:rsid w:val="00F868DE"/>
    <w:rsid w:val="00F935A3"/>
    <w:rsid w:val="00F968E5"/>
    <w:rsid w:val="00F97588"/>
    <w:rsid w:val="00F97D02"/>
    <w:rsid w:val="00FA01A9"/>
    <w:rsid w:val="00FA117A"/>
    <w:rsid w:val="00FA2D9A"/>
    <w:rsid w:val="00FB517C"/>
    <w:rsid w:val="00FC29FE"/>
    <w:rsid w:val="00FC4847"/>
    <w:rsid w:val="00FC56E4"/>
    <w:rsid w:val="00FD0742"/>
    <w:rsid w:val="00FD1690"/>
    <w:rsid w:val="00FD3795"/>
    <w:rsid w:val="00FD48F7"/>
    <w:rsid w:val="00FD6D9F"/>
    <w:rsid w:val="00FD782A"/>
    <w:rsid w:val="00FE167C"/>
    <w:rsid w:val="00FE6FA7"/>
    <w:rsid w:val="00FF2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B71"/>
    <w:rPr>
      <w:rFonts w:ascii="Tahoma" w:hAnsi="Tahoma" w:cs="Tahoma"/>
      <w:sz w:val="16"/>
      <w:szCs w:val="16"/>
    </w:rPr>
  </w:style>
  <w:style w:type="paragraph" w:styleId="ListParagraph">
    <w:name w:val="List Paragraph"/>
    <w:basedOn w:val="Normal"/>
    <w:uiPriority w:val="34"/>
    <w:qFormat/>
    <w:rsid w:val="009334C0"/>
    <w:pPr>
      <w:ind w:left="720"/>
      <w:contextualSpacing/>
    </w:pPr>
  </w:style>
  <w:style w:type="paragraph" w:customStyle="1" w:styleId="Default">
    <w:name w:val="Default"/>
    <w:rsid w:val="00D7327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73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74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F3"/>
  </w:style>
  <w:style w:type="paragraph" w:styleId="Footer">
    <w:name w:val="footer"/>
    <w:basedOn w:val="Normal"/>
    <w:link w:val="FooterChar"/>
    <w:uiPriority w:val="99"/>
    <w:unhideWhenUsed/>
    <w:rsid w:val="00074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7F3"/>
  </w:style>
  <w:style w:type="character" w:styleId="Hyperlink">
    <w:name w:val="Hyperlink"/>
    <w:basedOn w:val="DefaultParagraphFont"/>
    <w:uiPriority w:val="99"/>
    <w:unhideWhenUsed/>
    <w:rsid w:val="0043122E"/>
    <w:rPr>
      <w:color w:val="0000FF" w:themeColor="hyperlink"/>
      <w:u w:val="single"/>
    </w:rPr>
  </w:style>
  <w:style w:type="paragraph" w:styleId="NoSpacing">
    <w:name w:val="No Spacing"/>
    <w:uiPriority w:val="1"/>
    <w:qFormat/>
    <w:rsid w:val="00FD78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3" Type="http://schemas.openxmlformats.org/officeDocument/2006/relationships/hyperlink" Target="mailto:editor@aarf.asia" TargetMode="External"/><Relationship Id="rId2" Type="http://schemas.openxmlformats.org/officeDocument/2006/relationships/hyperlink" Target="mailto:editoraarf@gmail.com" TargetMode="External"/><Relationship Id="rId1" Type="http://schemas.openxmlformats.org/officeDocument/2006/relationships/hyperlink" Target="http://www.aarf.asia"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sz="1186"/>
            </a:pPr>
            <a:r>
              <a:rPr lang="en-US" sz="1186"/>
              <a:t>Load Vs BSFC</a:t>
            </a:r>
          </a:p>
        </c:rich>
      </c:tx>
    </c:title>
    <c:plotArea>
      <c:layout>
        <c:manualLayout>
          <c:layoutTarget val="inner"/>
          <c:xMode val="edge"/>
          <c:yMode val="edge"/>
          <c:x val="0.14775725593667549"/>
          <c:y val="0.1662049861495852"/>
          <c:w val="0.59102902374670252"/>
          <c:h val="0.63988919667590616"/>
        </c:manualLayout>
      </c:layout>
      <c:scatterChart>
        <c:scatterStyle val="smoothMarker"/>
        <c:ser>
          <c:idx val="0"/>
          <c:order val="0"/>
          <c:tx>
            <c:strRef>
              <c:f>Sheet1!$B$1</c:f>
              <c:strCache>
                <c:ptCount val="1"/>
                <c:pt idx="0">
                  <c:v>Diesel at 180 bar</c:v>
                </c:pt>
              </c:strCache>
            </c:strRef>
          </c:tx>
          <c:xVal>
            <c:numRef>
              <c:f>Sheet1!$A$2:$A$7</c:f>
              <c:numCache>
                <c:formatCode>General</c:formatCode>
                <c:ptCount val="6"/>
                <c:pt idx="0">
                  <c:v>0</c:v>
                </c:pt>
                <c:pt idx="1">
                  <c:v>500</c:v>
                </c:pt>
                <c:pt idx="2">
                  <c:v>1000</c:v>
                </c:pt>
                <c:pt idx="3">
                  <c:v>1500</c:v>
                </c:pt>
                <c:pt idx="4">
                  <c:v>2000</c:v>
                </c:pt>
              </c:numCache>
            </c:numRef>
          </c:xVal>
          <c:yVal>
            <c:numRef>
              <c:f>Sheet1!$B$2:$B$7</c:f>
              <c:numCache>
                <c:formatCode>General</c:formatCode>
                <c:ptCount val="6"/>
                <c:pt idx="1">
                  <c:v>0.874000000000003</c:v>
                </c:pt>
                <c:pt idx="2">
                  <c:v>0.61300000000000165</c:v>
                </c:pt>
                <c:pt idx="3">
                  <c:v>0.57399999999999995</c:v>
                </c:pt>
                <c:pt idx="4">
                  <c:v>0.55100000000000005</c:v>
                </c:pt>
              </c:numCache>
            </c:numRef>
          </c:yVal>
          <c:smooth val="1"/>
        </c:ser>
        <c:ser>
          <c:idx val="1"/>
          <c:order val="1"/>
          <c:tx>
            <c:strRef>
              <c:f>Sheet1!$C$1</c:f>
              <c:strCache>
                <c:ptCount val="1"/>
                <c:pt idx="0">
                  <c:v>B50 at 180 bar</c:v>
                </c:pt>
              </c:strCache>
            </c:strRef>
          </c:tx>
          <c:xVal>
            <c:numRef>
              <c:f>Sheet1!$A$2:$A$7</c:f>
              <c:numCache>
                <c:formatCode>General</c:formatCode>
                <c:ptCount val="6"/>
                <c:pt idx="0">
                  <c:v>0</c:v>
                </c:pt>
                <c:pt idx="1">
                  <c:v>500</c:v>
                </c:pt>
                <c:pt idx="2">
                  <c:v>1000</c:v>
                </c:pt>
                <c:pt idx="3">
                  <c:v>1500</c:v>
                </c:pt>
                <c:pt idx="4">
                  <c:v>2000</c:v>
                </c:pt>
              </c:numCache>
            </c:numRef>
          </c:xVal>
          <c:yVal>
            <c:numRef>
              <c:f>Sheet1!$C$2:$C$7</c:f>
              <c:numCache>
                <c:formatCode>General</c:formatCode>
                <c:ptCount val="6"/>
                <c:pt idx="1">
                  <c:v>0.74700000000000299</c:v>
                </c:pt>
                <c:pt idx="2">
                  <c:v>0.59400000000000053</c:v>
                </c:pt>
                <c:pt idx="3">
                  <c:v>0.58600000000000052</c:v>
                </c:pt>
                <c:pt idx="4">
                  <c:v>0.52200000000000002</c:v>
                </c:pt>
              </c:numCache>
            </c:numRef>
          </c:yVal>
          <c:smooth val="1"/>
        </c:ser>
        <c:ser>
          <c:idx val="2"/>
          <c:order val="2"/>
          <c:tx>
            <c:strRef>
              <c:f>Sheet1!$D$1</c:f>
              <c:strCache>
                <c:ptCount val="1"/>
                <c:pt idx="0">
                  <c:v>Diesel at 200 bar</c:v>
                </c:pt>
              </c:strCache>
            </c:strRef>
          </c:tx>
          <c:xVal>
            <c:numRef>
              <c:f>Sheet1!$A$2:$A$7</c:f>
              <c:numCache>
                <c:formatCode>General</c:formatCode>
                <c:ptCount val="6"/>
                <c:pt idx="0">
                  <c:v>0</c:v>
                </c:pt>
                <c:pt idx="1">
                  <c:v>500</c:v>
                </c:pt>
                <c:pt idx="2">
                  <c:v>1000</c:v>
                </c:pt>
                <c:pt idx="3">
                  <c:v>1500</c:v>
                </c:pt>
                <c:pt idx="4">
                  <c:v>2000</c:v>
                </c:pt>
              </c:numCache>
            </c:numRef>
          </c:xVal>
          <c:yVal>
            <c:numRef>
              <c:f>Sheet1!$D$2:$D$7</c:f>
              <c:numCache>
                <c:formatCode>General</c:formatCode>
                <c:ptCount val="6"/>
                <c:pt idx="1">
                  <c:v>0.93700000000000061</c:v>
                </c:pt>
                <c:pt idx="2">
                  <c:v>0.61300000000000165</c:v>
                </c:pt>
                <c:pt idx="3">
                  <c:v>0.60200000000000065</c:v>
                </c:pt>
                <c:pt idx="4">
                  <c:v>0.53900000000000003</c:v>
                </c:pt>
              </c:numCache>
            </c:numRef>
          </c:yVal>
          <c:smooth val="1"/>
        </c:ser>
        <c:ser>
          <c:idx val="3"/>
          <c:order val="3"/>
          <c:tx>
            <c:strRef>
              <c:f>Sheet1!$E$1</c:f>
              <c:strCache>
                <c:ptCount val="1"/>
                <c:pt idx="0">
                  <c:v>B50 at 200 bar</c:v>
                </c:pt>
              </c:strCache>
            </c:strRef>
          </c:tx>
          <c:xVal>
            <c:numRef>
              <c:f>Sheet1!$A$2:$A$7</c:f>
              <c:numCache>
                <c:formatCode>General</c:formatCode>
                <c:ptCount val="6"/>
                <c:pt idx="0">
                  <c:v>0</c:v>
                </c:pt>
                <c:pt idx="1">
                  <c:v>500</c:v>
                </c:pt>
                <c:pt idx="2">
                  <c:v>1000</c:v>
                </c:pt>
                <c:pt idx="3">
                  <c:v>1500</c:v>
                </c:pt>
                <c:pt idx="4">
                  <c:v>2000</c:v>
                </c:pt>
              </c:numCache>
            </c:numRef>
          </c:xVal>
          <c:yVal>
            <c:numRef>
              <c:f>Sheet1!$E$2:$E$7</c:f>
              <c:numCache>
                <c:formatCode>General</c:formatCode>
                <c:ptCount val="6"/>
                <c:pt idx="1">
                  <c:v>0.72500000000000064</c:v>
                </c:pt>
                <c:pt idx="2">
                  <c:v>0.58000000000000052</c:v>
                </c:pt>
                <c:pt idx="3">
                  <c:v>0.55300000000000005</c:v>
                </c:pt>
                <c:pt idx="4">
                  <c:v>0.51</c:v>
                </c:pt>
              </c:numCache>
            </c:numRef>
          </c:yVal>
          <c:smooth val="1"/>
        </c:ser>
        <c:ser>
          <c:idx val="4"/>
          <c:order val="4"/>
          <c:tx>
            <c:strRef>
              <c:f>Sheet1!$F$1</c:f>
              <c:strCache>
                <c:ptCount val="1"/>
                <c:pt idx="0">
                  <c:v>Diesel at 220 bar</c:v>
                </c:pt>
              </c:strCache>
            </c:strRef>
          </c:tx>
          <c:xVal>
            <c:numRef>
              <c:f>Sheet1!$A$2:$A$7</c:f>
              <c:numCache>
                <c:formatCode>General</c:formatCode>
                <c:ptCount val="6"/>
                <c:pt idx="0">
                  <c:v>0</c:v>
                </c:pt>
                <c:pt idx="1">
                  <c:v>500</c:v>
                </c:pt>
                <c:pt idx="2">
                  <c:v>1000</c:v>
                </c:pt>
                <c:pt idx="3">
                  <c:v>1500</c:v>
                </c:pt>
                <c:pt idx="4">
                  <c:v>2000</c:v>
                </c:pt>
              </c:numCache>
            </c:numRef>
          </c:xVal>
          <c:yVal>
            <c:numRef>
              <c:f>Sheet1!$F$2:$F$7</c:f>
              <c:numCache>
                <c:formatCode>General</c:formatCode>
                <c:ptCount val="6"/>
                <c:pt idx="1">
                  <c:v>0.88700000000000168</c:v>
                </c:pt>
                <c:pt idx="2">
                  <c:v>0.623000000000003</c:v>
                </c:pt>
                <c:pt idx="3">
                  <c:v>0.61900000000000299</c:v>
                </c:pt>
                <c:pt idx="4">
                  <c:v>0.53100000000000003</c:v>
                </c:pt>
              </c:numCache>
            </c:numRef>
          </c:yVal>
          <c:smooth val="1"/>
        </c:ser>
        <c:ser>
          <c:idx val="5"/>
          <c:order val="5"/>
          <c:tx>
            <c:strRef>
              <c:f>Sheet1!$G$1</c:f>
              <c:strCache>
                <c:ptCount val="1"/>
                <c:pt idx="0">
                  <c:v>B50 at 220 bar</c:v>
                </c:pt>
              </c:strCache>
            </c:strRef>
          </c:tx>
          <c:xVal>
            <c:numRef>
              <c:f>Sheet1!$A$2:$A$7</c:f>
              <c:numCache>
                <c:formatCode>General</c:formatCode>
                <c:ptCount val="6"/>
                <c:pt idx="0">
                  <c:v>0</c:v>
                </c:pt>
                <c:pt idx="1">
                  <c:v>500</c:v>
                </c:pt>
                <c:pt idx="2">
                  <c:v>1000</c:v>
                </c:pt>
                <c:pt idx="3">
                  <c:v>1500</c:v>
                </c:pt>
                <c:pt idx="4">
                  <c:v>2000</c:v>
                </c:pt>
              </c:numCache>
            </c:numRef>
          </c:xVal>
          <c:yVal>
            <c:numRef>
              <c:f>Sheet1!$G$2:$G$7</c:f>
              <c:numCache>
                <c:formatCode>General</c:formatCode>
                <c:ptCount val="6"/>
                <c:pt idx="1">
                  <c:v>0.67100000000000393</c:v>
                </c:pt>
                <c:pt idx="2">
                  <c:v>0.57299999999999995</c:v>
                </c:pt>
                <c:pt idx="3">
                  <c:v>0.54300000000000004</c:v>
                </c:pt>
                <c:pt idx="4">
                  <c:v>0.503</c:v>
                </c:pt>
              </c:numCache>
            </c:numRef>
          </c:yVal>
          <c:smooth val="1"/>
        </c:ser>
        <c:axId val="47810432"/>
        <c:axId val="47829376"/>
      </c:scatterChart>
      <c:valAx>
        <c:axId val="47810432"/>
        <c:scaling>
          <c:orientation val="minMax"/>
        </c:scaling>
        <c:axPos val="b"/>
        <c:title>
          <c:tx>
            <c:rich>
              <a:bodyPr/>
              <a:lstStyle/>
              <a:p>
                <a:pPr>
                  <a:defRPr lang="en-US" sz="1000" b="1" i="0" u="none" strike="noStrike" baseline="0">
                    <a:solidFill>
                      <a:srgbClr val="000000"/>
                    </a:solidFill>
                    <a:latin typeface="Times New Roman"/>
                    <a:ea typeface="Times New Roman"/>
                    <a:cs typeface="Times New Roman"/>
                  </a:defRPr>
                </a:pPr>
                <a:r>
                  <a:rPr lang="en-US" sz="1000" baseline="0"/>
                  <a:t>Load, W</a:t>
                </a:r>
              </a:p>
            </c:rich>
          </c:tx>
        </c:title>
        <c:numFmt formatCode="General" sourceLinked="1"/>
        <c:majorTickMark val="none"/>
        <c:tickLblPos val="nextTo"/>
        <c:txPr>
          <a:bodyPr rot="0" vert="horz"/>
          <a:lstStyle/>
          <a:p>
            <a:pPr>
              <a:defRPr lang="en-US" sz="849" b="0" i="0" u="none" strike="noStrike" baseline="0">
                <a:solidFill>
                  <a:srgbClr val="000000"/>
                </a:solidFill>
                <a:latin typeface="Times New Roman"/>
                <a:ea typeface="Times New Roman"/>
                <a:cs typeface="Times New Roman"/>
              </a:defRPr>
            </a:pPr>
            <a:endParaRPr lang="en-US"/>
          </a:p>
        </c:txPr>
        <c:crossAx val="47829376"/>
        <c:crosses val="autoZero"/>
        <c:crossBetween val="midCat"/>
      </c:valAx>
      <c:valAx>
        <c:axId val="47829376"/>
        <c:scaling>
          <c:orientation val="minMax"/>
        </c:scaling>
        <c:axPos val="l"/>
        <c:majorGridlines/>
        <c:title>
          <c:tx>
            <c:rich>
              <a:bodyPr/>
              <a:lstStyle/>
              <a:p>
                <a:pPr>
                  <a:defRPr lang="en-US" sz="839" b="1" i="0" u="none" strike="noStrike" baseline="0">
                    <a:solidFill>
                      <a:srgbClr val="000000"/>
                    </a:solidFill>
                    <a:latin typeface="Times New Roman"/>
                    <a:ea typeface="Times New Roman"/>
                    <a:cs typeface="Times New Roman"/>
                  </a:defRPr>
                </a:pPr>
                <a:r>
                  <a:rPr lang="en-US"/>
                  <a:t>BSFC, kg/kW h</a:t>
                </a:r>
              </a:p>
            </c:rich>
          </c:tx>
        </c:title>
        <c:numFmt formatCode="General" sourceLinked="1"/>
        <c:majorTickMark val="none"/>
        <c:tickLblPos val="nextTo"/>
        <c:txPr>
          <a:bodyPr/>
          <a:lstStyle/>
          <a:p>
            <a:pPr>
              <a:defRPr lang="en-US" sz="847"/>
            </a:pPr>
            <a:endParaRPr lang="en-US"/>
          </a:p>
        </c:txPr>
        <c:crossAx val="47810432"/>
        <c:crosses val="autoZero"/>
        <c:crossBetween val="midCat"/>
      </c:valAx>
    </c:plotArea>
    <c:legend>
      <c:legendPos val="r"/>
      <c:layout>
        <c:manualLayout>
          <c:xMode val="edge"/>
          <c:yMode val="edge"/>
          <c:x val="0.78196680738101654"/>
          <c:y val="0.45380609371090463"/>
          <c:w val="0.21557398481083487"/>
          <c:h val="0.28122300128305538"/>
        </c:manualLayout>
      </c:layout>
      <c:txPr>
        <a:bodyPr/>
        <a:lstStyle/>
        <a:p>
          <a:pPr>
            <a:defRPr lang="en-US" sz="847"/>
          </a:pPr>
          <a:endParaRPr lang="en-US"/>
        </a:p>
      </c:txPr>
    </c:legend>
    <c:plotVisOnly val="1"/>
    <c:dispBlanksAs val="gap"/>
  </c:chart>
  <c:txPr>
    <a:bodyPr/>
    <a:lstStyle/>
    <a:p>
      <a:pPr>
        <a:defRPr sz="1017">
          <a:latin typeface="Times New Roman" pitchFamily="18" charset="0"/>
          <a:cs typeface="Times New Roman"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LOAD VS </a:t>
            </a:r>
            <a:r>
              <a:rPr lang="en-US" sz="1800" b="1" i="0" u="none" strike="noStrike" baseline="0"/>
              <a:t>η</a:t>
            </a:r>
            <a:r>
              <a:rPr lang="en-US" sz="1800" b="1" i="0" u="none" strike="noStrike" baseline="-25000"/>
              <a:t>bth</a:t>
            </a:r>
            <a:endParaRPr lang="en-US"/>
          </a:p>
        </c:rich>
      </c:tx>
      <c:overlay val="1"/>
    </c:title>
    <c:plotArea>
      <c:layout>
        <c:manualLayout>
          <c:layoutTarget val="inner"/>
          <c:xMode val="edge"/>
          <c:yMode val="edge"/>
          <c:x val="0.13517333893679589"/>
          <c:y val="0.1200836237737482"/>
          <c:w val="0.6268506715494061"/>
          <c:h val="0.72607380116111264"/>
        </c:manualLayout>
      </c:layout>
      <c:scatterChart>
        <c:scatterStyle val="smoothMarker"/>
        <c:ser>
          <c:idx val="0"/>
          <c:order val="0"/>
          <c:tx>
            <c:strRef>
              <c:f>Sheet1!$B$1</c:f>
              <c:strCache>
                <c:ptCount val="1"/>
                <c:pt idx="0">
                  <c:v>Diesel at 180 bar</c:v>
                </c:pt>
              </c:strCache>
            </c:strRef>
          </c:tx>
          <c:xVal>
            <c:numRef>
              <c:f>Sheet1!$A$2:$A$7</c:f>
              <c:numCache>
                <c:formatCode>General</c:formatCode>
                <c:ptCount val="6"/>
                <c:pt idx="0">
                  <c:v>0</c:v>
                </c:pt>
                <c:pt idx="1">
                  <c:v>500</c:v>
                </c:pt>
                <c:pt idx="2">
                  <c:v>1000</c:v>
                </c:pt>
                <c:pt idx="3">
                  <c:v>1500</c:v>
                </c:pt>
                <c:pt idx="4">
                  <c:v>2000</c:v>
                </c:pt>
              </c:numCache>
            </c:numRef>
          </c:xVal>
          <c:yVal>
            <c:numRef>
              <c:f>Sheet1!$B$2:$B$7</c:f>
              <c:numCache>
                <c:formatCode>General</c:formatCode>
                <c:ptCount val="6"/>
                <c:pt idx="0">
                  <c:v>0</c:v>
                </c:pt>
                <c:pt idx="1">
                  <c:v>9.57</c:v>
                </c:pt>
                <c:pt idx="2">
                  <c:v>13.63</c:v>
                </c:pt>
                <c:pt idx="3">
                  <c:v>14.57</c:v>
                </c:pt>
                <c:pt idx="4">
                  <c:v>15.17</c:v>
                </c:pt>
              </c:numCache>
            </c:numRef>
          </c:yVal>
          <c:smooth val="1"/>
        </c:ser>
        <c:ser>
          <c:idx val="1"/>
          <c:order val="1"/>
          <c:tx>
            <c:strRef>
              <c:f>Sheet1!$C$1</c:f>
              <c:strCache>
                <c:ptCount val="1"/>
                <c:pt idx="0">
                  <c:v>B50 at 180 bar</c:v>
                </c:pt>
              </c:strCache>
            </c:strRef>
          </c:tx>
          <c:xVal>
            <c:numRef>
              <c:f>Sheet1!$A$2:$A$7</c:f>
              <c:numCache>
                <c:formatCode>General</c:formatCode>
                <c:ptCount val="6"/>
                <c:pt idx="0">
                  <c:v>0</c:v>
                </c:pt>
                <c:pt idx="1">
                  <c:v>500</c:v>
                </c:pt>
                <c:pt idx="2">
                  <c:v>1000</c:v>
                </c:pt>
                <c:pt idx="3">
                  <c:v>1500</c:v>
                </c:pt>
                <c:pt idx="4">
                  <c:v>2000</c:v>
                </c:pt>
              </c:numCache>
            </c:numRef>
          </c:xVal>
          <c:yVal>
            <c:numRef>
              <c:f>Sheet1!$C$2:$C$7</c:f>
              <c:numCache>
                <c:formatCode>General</c:formatCode>
                <c:ptCount val="6"/>
                <c:pt idx="0">
                  <c:v>0</c:v>
                </c:pt>
                <c:pt idx="1">
                  <c:v>12.32</c:v>
                </c:pt>
                <c:pt idx="2">
                  <c:v>15.5</c:v>
                </c:pt>
                <c:pt idx="3">
                  <c:v>15.69</c:v>
                </c:pt>
                <c:pt idx="4">
                  <c:v>17.630000000000031</c:v>
                </c:pt>
              </c:numCache>
            </c:numRef>
          </c:yVal>
          <c:smooth val="1"/>
        </c:ser>
        <c:ser>
          <c:idx val="2"/>
          <c:order val="2"/>
          <c:tx>
            <c:strRef>
              <c:f>Sheet1!$D$1</c:f>
              <c:strCache>
                <c:ptCount val="1"/>
                <c:pt idx="0">
                  <c:v>Diesel at 200 bar</c:v>
                </c:pt>
              </c:strCache>
            </c:strRef>
          </c:tx>
          <c:xVal>
            <c:numRef>
              <c:f>Sheet1!$A$2:$A$7</c:f>
              <c:numCache>
                <c:formatCode>General</c:formatCode>
                <c:ptCount val="6"/>
                <c:pt idx="0">
                  <c:v>0</c:v>
                </c:pt>
                <c:pt idx="1">
                  <c:v>500</c:v>
                </c:pt>
                <c:pt idx="2">
                  <c:v>1000</c:v>
                </c:pt>
                <c:pt idx="3">
                  <c:v>1500</c:v>
                </c:pt>
                <c:pt idx="4">
                  <c:v>2000</c:v>
                </c:pt>
              </c:numCache>
            </c:numRef>
          </c:xVal>
          <c:yVal>
            <c:numRef>
              <c:f>Sheet1!$D$2:$D$7</c:f>
              <c:numCache>
                <c:formatCode>General</c:formatCode>
                <c:ptCount val="6"/>
                <c:pt idx="0">
                  <c:v>0</c:v>
                </c:pt>
                <c:pt idx="1">
                  <c:v>8.93</c:v>
                </c:pt>
                <c:pt idx="2">
                  <c:v>13.63</c:v>
                </c:pt>
                <c:pt idx="3">
                  <c:v>13.9</c:v>
                </c:pt>
                <c:pt idx="4">
                  <c:v>15.51</c:v>
                </c:pt>
              </c:numCache>
            </c:numRef>
          </c:yVal>
          <c:smooth val="1"/>
        </c:ser>
        <c:ser>
          <c:idx val="3"/>
          <c:order val="3"/>
          <c:tx>
            <c:strRef>
              <c:f>Sheet1!$E$1</c:f>
              <c:strCache>
                <c:ptCount val="1"/>
                <c:pt idx="0">
                  <c:v>B50 at 200 bar</c:v>
                </c:pt>
              </c:strCache>
            </c:strRef>
          </c:tx>
          <c:xVal>
            <c:numRef>
              <c:f>Sheet1!$A$2:$A$7</c:f>
              <c:numCache>
                <c:formatCode>General</c:formatCode>
                <c:ptCount val="6"/>
                <c:pt idx="0">
                  <c:v>0</c:v>
                </c:pt>
                <c:pt idx="1">
                  <c:v>500</c:v>
                </c:pt>
                <c:pt idx="2">
                  <c:v>1000</c:v>
                </c:pt>
                <c:pt idx="3">
                  <c:v>1500</c:v>
                </c:pt>
                <c:pt idx="4">
                  <c:v>2000</c:v>
                </c:pt>
              </c:numCache>
            </c:numRef>
          </c:xVal>
          <c:yVal>
            <c:numRef>
              <c:f>Sheet1!$E$2:$E$7</c:f>
              <c:numCache>
                <c:formatCode>General</c:formatCode>
                <c:ptCount val="6"/>
                <c:pt idx="0">
                  <c:v>0</c:v>
                </c:pt>
                <c:pt idx="1">
                  <c:v>12.69</c:v>
                </c:pt>
                <c:pt idx="2">
                  <c:v>15.88</c:v>
                </c:pt>
                <c:pt idx="3">
                  <c:v>16.630000000000031</c:v>
                </c:pt>
                <c:pt idx="4">
                  <c:v>18.05</c:v>
                </c:pt>
              </c:numCache>
            </c:numRef>
          </c:yVal>
          <c:smooth val="1"/>
        </c:ser>
        <c:ser>
          <c:idx val="4"/>
          <c:order val="4"/>
          <c:tx>
            <c:strRef>
              <c:f>Sheet1!$F$1</c:f>
              <c:strCache>
                <c:ptCount val="1"/>
                <c:pt idx="0">
                  <c:v>Diesel at 220 bar</c:v>
                </c:pt>
              </c:strCache>
            </c:strRef>
          </c:tx>
          <c:xVal>
            <c:numRef>
              <c:f>Sheet1!$A$2:$A$7</c:f>
              <c:numCache>
                <c:formatCode>General</c:formatCode>
                <c:ptCount val="6"/>
                <c:pt idx="0">
                  <c:v>0</c:v>
                </c:pt>
                <c:pt idx="1">
                  <c:v>500</c:v>
                </c:pt>
                <c:pt idx="2">
                  <c:v>1000</c:v>
                </c:pt>
                <c:pt idx="3">
                  <c:v>1500</c:v>
                </c:pt>
                <c:pt idx="4">
                  <c:v>2000</c:v>
                </c:pt>
              </c:numCache>
            </c:numRef>
          </c:xVal>
          <c:yVal>
            <c:numRef>
              <c:f>Sheet1!$F$2:$F$7</c:f>
              <c:numCache>
                <c:formatCode>General</c:formatCode>
                <c:ptCount val="6"/>
                <c:pt idx="0">
                  <c:v>0</c:v>
                </c:pt>
                <c:pt idx="1">
                  <c:v>9.43</c:v>
                </c:pt>
                <c:pt idx="2">
                  <c:v>13.43</c:v>
                </c:pt>
                <c:pt idx="3">
                  <c:v>13.51</c:v>
                </c:pt>
                <c:pt idx="4">
                  <c:v>15.76</c:v>
                </c:pt>
              </c:numCache>
            </c:numRef>
          </c:yVal>
          <c:smooth val="1"/>
        </c:ser>
        <c:ser>
          <c:idx val="5"/>
          <c:order val="5"/>
          <c:tx>
            <c:strRef>
              <c:f>Sheet1!$G$1</c:f>
              <c:strCache>
                <c:ptCount val="1"/>
                <c:pt idx="0">
                  <c:v>B50 at 220 bar</c:v>
                </c:pt>
              </c:strCache>
            </c:strRef>
          </c:tx>
          <c:xVal>
            <c:numRef>
              <c:f>Sheet1!$A$2:$A$7</c:f>
              <c:numCache>
                <c:formatCode>General</c:formatCode>
                <c:ptCount val="6"/>
                <c:pt idx="0">
                  <c:v>0</c:v>
                </c:pt>
                <c:pt idx="1">
                  <c:v>500</c:v>
                </c:pt>
                <c:pt idx="2">
                  <c:v>1000</c:v>
                </c:pt>
                <c:pt idx="3">
                  <c:v>1500</c:v>
                </c:pt>
                <c:pt idx="4">
                  <c:v>2000</c:v>
                </c:pt>
              </c:numCache>
            </c:numRef>
          </c:xVal>
          <c:yVal>
            <c:numRef>
              <c:f>Sheet1!$G$2:$G$7</c:f>
              <c:numCache>
                <c:formatCode>General</c:formatCode>
                <c:ptCount val="6"/>
                <c:pt idx="0">
                  <c:v>0</c:v>
                </c:pt>
                <c:pt idx="1">
                  <c:v>13.72</c:v>
                </c:pt>
                <c:pt idx="2">
                  <c:v>16.04</c:v>
                </c:pt>
                <c:pt idx="3">
                  <c:v>16.95</c:v>
                </c:pt>
                <c:pt idx="4">
                  <c:v>18.27</c:v>
                </c:pt>
              </c:numCache>
            </c:numRef>
          </c:yVal>
          <c:smooth val="1"/>
        </c:ser>
        <c:axId val="91452928"/>
        <c:axId val="91454848"/>
      </c:scatterChart>
      <c:valAx>
        <c:axId val="91452928"/>
        <c:scaling>
          <c:orientation val="minMax"/>
        </c:scaling>
        <c:axPos val="b"/>
        <c:title>
          <c:tx>
            <c:rich>
              <a:bodyPr/>
              <a:lstStyle/>
              <a:p>
                <a:pPr>
                  <a:defRPr lang="en-US" sz="1000" baseline="0"/>
                </a:pPr>
                <a:r>
                  <a:rPr lang="en-US" sz="1000" baseline="0">
                    <a:latin typeface="Book Antiqua" pitchFamily="18" charset="0"/>
                  </a:rPr>
                  <a:t>LOAD(w)</a:t>
                </a:r>
              </a:p>
            </c:rich>
          </c:tx>
        </c:title>
        <c:numFmt formatCode="General" sourceLinked="1"/>
        <c:tickLblPos val="nextTo"/>
        <c:txPr>
          <a:bodyPr/>
          <a:lstStyle/>
          <a:p>
            <a:pPr>
              <a:defRPr lang="en-US"/>
            </a:pPr>
            <a:endParaRPr lang="en-US"/>
          </a:p>
        </c:txPr>
        <c:crossAx val="91454848"/>
        <c:crosses val="autoZero"/>
        <c:crossBetween val="midCat"/>
      </c:valAx>
      <c:valAx>
        <c:axId val="91454848"/>
        <c:scaling>
          <c:orientation val="minMax"/>
        </c:scaling>
        <c:axPos val="l"/>
        <c:majorGridlines/>
        <c:title>
          <c:tx>
            <c:rich>
              <a:bodyPr rot="-5400000" vert="horz"/>
              <a:lstStyle/>
              <a:p>
                <a:pPr>
                  <a:defRPr lang="en-US" sz="1600">
                    <a:latin typeface="Book Antiqua" pitchFamily="18" charset="0"/>
                  </a:defRPr>
                </a:pPr>
                <a:r>
                  <a:rPr lang="en-US" sz="1600" b="1" i="0" u="none" strike="noStrike" baseline="0">
                    <a:latin typeface="Book Antiqua" pitchFamily="18" charset="0"/>
                  </a:rPr>
                  <a:t>η</a:t>
                </a:r>
                <a:r>
                  <a:rPr lang="en-US" sz="1600" b="1" i="0" u="none" strike="noStrike" baseline="-25000">
                    <a:latin typeface="Book Antiqua" pitchFamily="18" charset="0"/>
                  </a:rPr>
                  <a:t>bth</a:t>
                </a:r>
                <a:endParaRPr lang="en-US" sz="1600">
                  <a:latin typeface="Book Antiqua" pitchFamily="18" charset="0"/>
                </a:endParaRPr>
              </a:p>
            </c:rich>
          </c:tx>
          <c:layout>
            <c:manualLayout>
              <c:xMode val="edge"/>
              <c:yMode val="edge"/>
              <c:x val="3.7779853925957695E-2"/>
              <c:y val="0.46205327045428335"/>
            </c:manualLayout>
          </c:layout>
        </c:title>
        <c:numFmt formatCode="General" sourceLinked="1"/>
        <c:tickLblPos val="nextTo"/>
        <c:txPr>
          <a:bodyPr/>
          <a:lstStyle/>
          <a:p>
            <a:pPr>
              <a:defRPr lang="en-US"/>
            </a:pPr>
            <a:endParaRPr lang="en-US"/>
          </a:p>
        </c:txPr>
        <c:crossAx val="91452928"/>
        <c:crosses val="autoZero"/>
        <c:crossBetween val="midCat"/>
      </c:valAx>
    </c:plotArea>
    <c:legend>
      <c:legendPos val="r"/>
      <c:txPr>
        <a:bodyPr/>
        <a:lstStyle/>
        <a:p>
          <a:pPr>
            <a:defRPr lang="en-US"/>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LOAD VS HC</a:t>
            </a:r>
          </a:p>
        </c:rich>
      </c:tx>
      <c:overlay val="1"/>
    </c:title>
    <c:plotArea>
      <c:layout>
        <c:manualLayout>
          <c:layoutTarget val="inner"/>
          <c:xMode val="edge"/>
          <c:yMode val="edge"/>
          <c:x val="0.15390237678623642"/>
          <c:y val="0.11945444319460068"/>
          <c:w val="0.58265446373734997"/>
          <c:h val="0.71451632032031365"/>
        </c:manualLayout>
      </c:layout>
      <c:scatterChart>
        <c:scatterStyle val="smoothMarker"/>
        <c:ser>
          <c:idx val="0"/>
          <c:order val="0"/>
          <c:tx>
            <c:strRef>
              <c:f>Sheet1!$B$1</c:f>
              <c:strCache>
                <c:ptCount val="1"/>
                <c:pt idx="0">
                  <c:v>B S III</c:v>
                </c:pt>
              </c:strCache>
            </c:strRef>
          </c:tx>
          <c:xVal>
            <c:numRef>
              <c:f>Sheet1!$A$2:$A$7</c:f>
              <c:numCache>
                <c:formatCode>General</c:formatCode>
                <c:ptCount val="6"/>
                <c:pt idx="0">
                  <c:v>0</c:v>
                </c:pt>
                <c:pt idx="1">
                  <c:v>500</c:v>
                </c:pt>
                <c:pt idx="2">
                  <c:v>1000</c:v>
                </c:pt>
                <c:pt idx="3">
                  <c:v>1500</c:v>
                </c:pt>
                <c:pt idx="4">
                  <c:v>2000</c:v>
                </c:pt>
              </c:numCache>
            </c:numRef>
          </c:xVal>
          <c:yVal>
            <c:numRef>
              <c:f>Sheet1!$B$2:$B$7</c:f>
              <c:numCache>
                <c:formatCode>General</c:formatCode>
                <c:ptCount val="6"/>
                <c:pt idx="0">
                  <c:v>333</c:v>
                </c:pt>
                <c:pt idx="1">
                  <c:v>333</c:v>
                </c:pt>
                <c:pt idx="2">
                  <c:v>333</c:v>
                </c:pt>
                <c:pt idx="3">
                  <c:v>333</c:v>
                </c:pt>
                <c:pt idx="4">
                  <c:v>333</c:v>
                </c:pt>
              </c:numCache>
            </c:numRef>
          </c:yVal>
          <c:smooth val="1"/>
        </c:ser>
        <c:ser>
          <c:idx val="1"/>
          <c:order val="1"/>
          <c:tx>
            <c:strRef>
              <c:f>Sheet1!$C$1</c:f>
              <c:strCache>
                <c:ptCount val="1"/>
                <c:pt idx="0">
                  <c:v>Diesel at 180 bar</c:v>
                </c:pt>
              </c:strCache>
            </c:strRef>
          </c:tx>
          <c:xVal>
            <c:numRef>
              <c:f>Sheet1!$A$2:$A$7</c:f>
              <c:numCache>
                <c:formatCode>General</c:formatCode>
                <c:ptCount val="6"/>
                <c:pt idx="0">
                  <c:v>0</c:v>
                </c:pt>
                <c:pt idx="1">
                  <c:v>500</c:v>
                </c:pt>
                <c:pt idx="2">
                  <c:v>1000</c:v>
                </c:pt>
                <c:pt idx="3">
                  <c:v>1500</c:v>
                </c:pt>
                <c:pt idx="4">
                  <c:v>2000</c:v>
                </c:pt>
              </c:numCache>
            </c:numRef>
          </c:xVal>
          <c:yVal>
            <c:numRef>
              <c:f>Sheet1!$C$2:$C$7</c:f>
              <c:numCache>
                <c:formatCode>General</c:formatCode>
                <c:ptCount val="6"/>
                <c:pt idx="0">
                  <c:v>0</c:v>
                </c:pt>
                <c:pt idx="1">
                  <c:v>1</c:v>
                </c:pt>
                <c:pt idx="2">
                  <c:v>1</c:v>
                </c:pt>
                <c:pt idx="3">
                  <c:v>3</c:v>
                </c:pt>
                <c:pt idx="4">
                  <c:v>7</c:v>
                </c:pt>
              </c:numCache>
            </c:numRef>
          </c:yVal>
          <c:smooth val="1"/>
        </c:ser>
        <c:ser>
          <c:idx val="2"/>
          <c:order val="2"/>
          <c:tx>
            <c:strRef>
              <c:f>Sheet1!$D$1</c:f>
              <c:strCache>
                <c:ptCount val="1"/>
                <c:pt idx="0">
                  <c:v>B50 at 180 bar</c:v>
                </c:pt>
              </c:strCache>
            </c:strRef>
          </c:tx>
          <c:xVal>
            <c:numRef>
              <c:f>Sheet1!$A$2:$A$7</c:f>
              <c:numCache>
                <c:formatCode>General</c:formatCode>
                <c:ptCount val="6"/>
                <c:pt idx="0">
                  <c:v>0</c:v>
                </c:pt>
                <c:pt idx="1">
                  <c:v>500</c:v>
                </c:pt>
                <c:pt idx="2">
                  <c:v>1000</c:v>
                </c:pt>
                <c:pt idx="3">
                  <c:v>1500</c:v>
                </c:pt>
                <c:pt idx="4">
                  <c:v>2000</c:v>
                </c:pt>
              </c:numCache>
            </c:numRef>
          </c:xVal>
          <c:yVal>
            <c:numRef>
              <c:f>Sheet1!$D$2:$D$7</c:f>
              <c:numCache>
                <c:formatCode>General</c:formatCode>
                <c:ptCount val="6"/>
                <c:pt idx="0">
                  <c:v>1</c:v>
                </c:pt>
                <c:pt idx="1">
                  <c:v>2</c:v>
                </c:pt>
                <c:pt idx="2">
                  <c:v>1</c:v>
                </c:pt>
                <c:pt idx="3">
                  <c:v>1</c:v>
                </c:pt>
                <c:pt idx="4">
                  <c:v>6</c:v>
                </c:pt>
              </c:numCache>
            </c:numRef>
          </c:yVal>
          <c:smooth val="1"/>
        </c:ser>
        <c:ser>
          <c:idx val="3"/>
          <c:order val="3"/>
          <c:tx>
            <c:strRef>
              <c:f>Sheet1!$E$1</c:f>
              <c:strCache>
                <c:ptCount val="1"/>
                <c:pt idx="0">
                  <c:v>Diesel at 200 bar</c:v>
                </c:pt>
              </c:strCache>
            </c:strRef>
          </c:tx>
          <c:xVal>
            <c:numRef>
              <c:f>Sheet1!$A$2:$A$7</c:f>
              <c:numCache>
                <c:formatCode>General</c:formatCode>
                <c:ptCount val="6"/>
                <c:pt idx="0">
                  <c:v>0</c:v>
                </c:pt>
                <c:pt idx="1">
                  <c:v>500</c:v>
                </c:pt>
                <c:pt idx="2">
                  <c:v>1000</c:v>
                </c:pt>
                <c:pt idx="3">
                  <c:v>1500</c:v>
                </c:pt>
                <c:pt idx="4">
                  <c:v>2000</c:v>
                </c:pt>
              </c:numCache>
            </c:numRef>
          </c:xVal>
          <c:yVal>
            <c:numRef>
              <c:f>Sheet1!$E$2:$E$7</c:f>
              <c:numCache>
                <c:formatCode>General</c:formatCode>
                <c:ptCount val="6"/>
                <c:pt idx="0">
                  <c:v>7</c:v>
                </c:pt>
                <c:pt idx="1">
                  <c:v>8</c:v>
                </c:pt>
                <c:pt idx="2">
                  <c:v>9</c:v>
                </c:pt>
                <c:pt idx="3">
                  <c:v>13</c:v>
                </c:pt>
                <c:pt idx="4">
                  <c:v>19</c:v>
                </c:pt>
              </c:numCache>
            </c:numRef>
          </c:yVal>
          <c:smooth val="1"/>
        </c:ser>
        <c:ser>
          <c:idx val="4"/>
          <c:order val="4"/>
          <c:tx>
            <c:strRef>
              <c:f>Sheet1!$F$1</c:f>
              <c:strCache>
                <c:ptCount val="1"/>
                <c:pt idx="0">
                  <c:v>B50 at 200 bar</c:v>
                </c:pt>
              </c:strCache>
            </c:strRef>
          </c:tx>
          <c:xVal>
            <c:numRef>
              <c:f>Sheet1!$A$2:$A$7</c:f>
              <c:numCache>
                <c:formatCode>General</c:formatCode>
                <c:ptCount val="6"/>
                <c:pt idx="0">
                  <c:v>0</c:v>
                </c:pt>
                <c:pt idx="1">
                  <c:v>500</c:v>
                </c:pt>
                <c:pt idx="2">
                  <c:v>1000</c:v>
                </c:pt>
                <c:pt idx="3">
                  <c:v>1500</c:v>
                </c:pt>
                <c:pt idx="4">
                  <c:v>2000</c:v>
                </c:pt>
              </c:numCache>
            </c:numRef>
          </c:xVal>
          <c:yVal>
            <c:numRef>
              <c:f>Sheet1!$F$2:$F$7</c:f>
              <c:numCache>
                <c:formatCode>General</c:formatCode>
                <c:ptCount val="6"/>
                <c:pt idx="0">
                  <c:v>2</c:v>
                </c:pt>
                <c:pt idx="1">
                  <c:v>3</c:v>
                </c:pt>
                <c:pt idx="2">
                  <c:v>5</c:v>
                </c:pt>
                <c:pt idx="3">
                  <c:v>9</c:v>
                </c:pt>
                <c:pt idx="4">
                  <c:v>17</c:v>
                </c:pt>
              </c:numCache>
            </c:numRef>
          </c:yVal>
          <c:smooth val="1"/>
        </c:ser>
        <c:ser>
          <c:idx val="5"/>
          <c:order val="5"/>
          <c:tx>
            <c:strRef>
              <c:f>Sheet1!$G$1</c:f>
              <c:strCache>
                <c:ptCount val="1"/>
                <c:pt idx="0">
                  <c:v>Diesel at 220 bar</c:v>
                </c:pt>
              </c:strCache>
            </c:strRef>
          </c:tx>
          <c:xVal>
            <c:numRef>
              <c:f>Sheet1!$A$2:$A$7</c:f>
              <c:numCache>
                <c:formatCode>General</c:formatCode>
                <c:ptCount val="6"/>
                <c:pt idx="0">
                  <c:v>0</c:v>
                </c:pt>
                <c:pt idx="1">
                  <c:v>500</c:v>
                </c:pt>
                <c:pt idx="2">
                  <c:v>1000</c:v>
                </c:pt>
                <c:pt idx="3">
                  <c:v>1500</c:v>
                </c:pt>
                <c:pt idx="4">
                  <c:v>2000</c:v>
                </c:pt>
              </c:numCache>
            </c:numRef>
          </c:xVal>
          <c:yVal>
            <c:numRef>
              <c:f>Sheet1!$G$2:$G$7</c:f>
              <c:numCache>
                <c:formatCode>General</c:formatCode>
                <c:ptCount val="6"/>
                <c:pt idx="0">
                  <c:v>1</c:v>
                </c:pt>
                <c:pt idx="1">
                  <c:v>2</c:v>
                </c:pt>
                <c:pt idx="2">
                  <c:v>4</c:v>
                </c:pt>
                <c:pt idx="3">
                  <c:v>6</c:v>
                </c:pt>
                <c:pt idx="4">
                  <c:v>15</c:v>
                </c:pt>
              </c:numCache>
            </c:numRef>
          </c:yVal>
          <c:smooth val="1"/>
        </c:ser>
        <c:ser>
          <c:idx val="6"/>
          <c:order val="6"/>
          <c:tx>
            <c:strRef>
              <c:f>Sheet1!$H$1</c:f>
              <c:strCache>
                <c:ptCount val="1"/>
                <c:pt idx="0">
                  <c:v>B50 at 220 bar</c:v>
                </c:pt>
              </c:strCache>
            </c:strRef>
          </c:tx>
          <c:xVal>
            <c:numRef>
              <c:f>Sheet1!$A$2:$A$7</c:f>
              <c:numCache>
                <c:formatCode>General</c:formatCode>
                <c:ptCount val="6"/>
                <c:pt idx="0">
                  <c:v>0</c:v>
                </c:pt>
                <c:pt idx="1">
                  <c:v>500</c:v>
                </c:pt>
                <c:pt idx="2">
                  <c:v>1000</c:v>
                </c:pt>
                <c:pt idx="3">
                  <c:v>1500</c:v>
                </c:pt>
                <c:pt idx="4">
                  <c:v>2000</c:v>
                </c:pt>
              </c:numCache>
            </c:numRef>
          </c:xVal>
          <c:yVal>
            <c:numRef>
              <c:f>Sheet1!$H$2:$H$7</c:f>
              <c:numCache>
                <c:formatCode>General</c:formatCode>
                <c:ptCount val="6"/>
                <c:pt idx="0">
                  <c:v>1</c:v>
                </c:pt>
                <c:pt idx="1">
                  <c:v>1</c:v>
                </c:pt>
                <c:pt idx="2">
                  <c:v>3</c:v>
                </c:pt>
                <c:pt idx="3">
                  <c:v>6</c:v>
                </c:pt>
                <c:pt idx="4">
                  <c:v>10</c:v>
                </c:pt>
              </c:numCache>
            </c:numRef>
          </c:yVal>
          <c:smooth val="1"/>
        </c:ser>
        <c:axId val="91477504"/>
        <c:axId val="91479424"/>
      </c:scatterChart>
      <c:valAx>
        <c:axId val="91477504"/>
        <c:scaling>
          <c:orientation val="minMax"/>
        </c:scaling>
        <c:axPos val="b"/>
        <c:title>
          <c:tx>
            <c:rich>
              <a:bodyPr/>
              <a:lstStyle/>
              <a:p>
                <a:pPr>
                  <a:defRPr lang="en-US"/>
                </a:pPr>
                <a:r>
                  <a:rPr lang="en-US"/>
                  <a:t>LOAD(w)</a:t>
                </a:r>
              </a:p>
            </c:rich>
          </c:tx>
        </c:title>
        <c:numFmt formatCode="General" sourceLinked="1"/>
        <c:tickLblPos val="nextTo"/>
        <c:txPr>
          <a:bodyPr/>
          <a:lstStyle/>
          <a:p>
            <a:pPr>
              <a:defRPr lang="en-US"/>
            </a:pPr>
            <a:endParaRPr lang="en-US"/>
          </a:p>
        </c:txPr>
        <c:crossAx val="91479424"/>
        <c:crosses val="autoZero"/>
        <c:crossBetween val="midCat"/>
      </c:valAx>
      <c:valAx>
        <c:axId val="91479424"/>
        <c:scaling>
          <c:orientation val="minMax"/>
        </c:scaling>
        <c:axPos val="l"/>
        <c:majorGridlines/>
        <c:title>
          <c:tx>
            <c:rich>
              <a:bodyPr rot="-5400000" vert="horz"/>
              <a:lstStyle/>
              <a:p>
                <a:pPr>
                  <a:defRPr lang="en-US"/>
                </a:pPr>
                <a:r>
                  <a:rPr lang="en-US"/>
                  <a:t>HC(PPM)</a:t>
                </a:r>
              </a:p>
            </c:rich>
          </c:tx>
        </c:title>
        <c:numFmt formatCode="General" sourceLinked="1"/>
        <c:tickLblPos val="nextTo"/>
        <c:txPr>
          <a:bodyPr/>
          <a:lstStyle/>
          <a:p>
            <a:pPr>
              <a:defRPr lang="en-US"/>
            </a:pPr>
            <a:endParaRPr lang="en-US"/>
          </a:p>
        </c:txPr>
        <c:crossAx val="91477504"/>
        <c:crosses val="autoZero"/>
        <c:crossBetween val="midCat"/>
      </c:valAx>
    </c:plotArea>
    <c:legend>
      <c:legendPos val="r"/>
      <c:txPr>
        <a:bodyPr/>
        <a:lstStyle/>
        <a:p>
          <a:pPr>
            <a:defRPr lang="en-US"/>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LOAD VS CO(%vol)</a:t>
            </a:r>
          </a:p>
        </c:rich>
      </c:tx>
      <c:layout>
        <c:manualLayout>
          <c:xMode val="edge"/>
          <c:yMode val="edge"/>
          <c:x val="0.40202783347765908"/>
          <c:y val="1.8618910773194976E-2"/>
        </c:manualLayout>
      </c:layout>
      <c:overlay val="1"/>
    </c:title>
    <c:plotArea>
      <c:layout>
        <c:manualLayout>
          <c:layoutTarget val="inner"/>
          <c:xMode val="edge"/>
          <c:yMode val="edge"/>
          <c:x val="0.13841113780819997"/>
          <c:y val="0.14188548284993194"/>
          <c:w val="0.62224488049347182"/>
          <c:h val="0.65819990024955755"/>
        </c:manualLayout>
      </c:layout>
      <c:scatterChart>
        <c:scatterStyle val="smoothMarker"/>
        <c:ser>
          <c:idx val="0"/>
          <c:order val="0"/>
          <c:tx>
            <c:strRef>
              <c:f>Sheet1!$B$1</c:f>
              <c:strCache>
                <c:ptCount val="1"/>
                <c:pt idx="0">
                  <c:v>B S III</c:v>
                </c:pt>
              </c:strCache>
            </c:strRef>
          </c:tx>
          <c:xVal>
            <c:numRef>
              <c:f>Sheet1!$A$2:$A$7</c:f>
              <c:numCache>
                <c:formatCode>General</c:formatCode>
                <c:ptCount val="6"/>
                <c:pt idx="0">
                  <c:v>0</c:v>
                </c:pt>
                <c:pt idx="1">
                  <c:v>500</c:v>
                </c:pt>
                <c:pt idx="2">
                  <c:v>1000</c:v>
                </c:pt>
                <c:pt idx="3">
                  <c:v>1500</c:v>
                </c:pt>
                <c:pt idx="4">
                  <c:v>2000</c:v>
                </c:pt>
              </c:numCache>
            </c:numRef>
          </c:xVal>
          <c:yVal>
            <c:numRef>
              <c:f>Sheet1!$B$2:$B$7</c:f>
              <c:numCache>
                <c:formatCode>General</c:formatCode>
                <c:ptCount val="6"/>
                <c:pt idx="0">
                  <c:v>0.11799999999999998</c:v>
                </c:pt>
                <c:pt idx="1">
                  <c:v>0.11799999999999998</c:v>
                </c:pt>
                <c:pt idx="2">
                  <c:v>0.11799999999999998</c:v>
                </c:pt>
                <c:pt idx="3">
                  <c:v>0.11799999999999998</c:v>
                </c:pt>
                <c:pt idx="4">
                  <c:v>0.11799999999999998</c:v>
                </c:pt>
              </c:numCache>
            </c:numRef>
          </c:yVal>
          <c:smooth val="1"/>
        </c:ser>
        <c:ser>
          <c:idx val="1"/>
          <c:order val="1"/>
          <c:tx>
            <c:strRef>
              <c:f>Sheet1!$C$1</c:f>
              <c:strCache>
                <c:ptCount val="1"/>
                <c:pt idx="0">
                  <c:v>Diesel at 180 bar</c:v>
                </c:pt>
              </c:strCache>
            </c:strRef>
          </c:tx>
          <c:xVal>
            <c:numRef>
              <c:f>Sheet1!$A$2:$A$7</c:f>
              <c:numCache>
                <c:formatCode>General</c:formatCode>
                <c:ptCount val="6"/>
                <c:pt idx="0">
                  <c:v>0</c:v>
                </c:pt>
                <c:pt idx="1">
                  <c:v>500</c:v>
                </c:pt>
                <c:pt idx="2">
                  <c:v>1000</c:v>
                </c:pt>
                <c:pt idx="3">
                  <c:v>1500</c:v>
                </c:pt>
                <c:pt idx="4">
                  <c:v>2000</c:v>
                </c:pt>
              </c:numCache>
            </c:numRef>
          </c:xVal>
          <c:yVal>
            <c:numRef>
              <c:f>Sheet1!$C$2:$C$7</c:f>
              <c:numCache>
                <c:formatCode>General</c:formatCode>
                <c:ptCount val="6"/>
                <c:pt idx="0">
                  <c:v>0</c:v>
                </c:pt>
                <c:pt idx="1">
                  <c:v>1.0000000000000005E-2</c:v>
                </c:pt>
                <c:pt idx="2">
                  <c:v>2.0000000000000011E-2</c:v>
                </c:pt>
                <c:pt idx="3">
                  <c:v>2.0000000000000011E-2</c:v>
                </c:pt>
                <c:pt idx="4">
                  <c:v>2.0000000000000011E-2</c:v>
                </c:pt>
              </c:numCache>
            </c:numRef>
          </c:yVal>
          <c:smooth val="1"/>
        </c:ser>
        <c:ser>
          <c:idx val="2"/>
          <c:order val="2"/>
          <c:tx>
            <c:strRef>
              <c:f>Sheet1!$D$1</c:f>
              <c:strCache>
                <c:ptCount val="1"/>
                <c:pt idx="0">
                  <c:v>B50 at 180 bar</c:v>
                </c:pt>
              </c:strCache>
            </c:strRef>
          </c:tx>
          <c:xVal>
            <c:numRef>
              <c:f>Sheet1!$A$2:$A$7</c:f>
              <c:numCache>
                <c:formatCode>General</c:formatCode>
                <c:ptCount val="6"/>
                <c:pt idx="0">
                  <c:v>0</c:v>
                </c:pt>
                <c:pt idx="1">
                  <c:v>500</c:v>
                </c:pt>
                <c:pt idx="2">
                  <c:v>1000</c:v>
                </c:pt>
                <c:pt idx="3">
                  <c:v>1500</c:v>
                </c:pt>
                <c:pt idx="4">
                  <c:v>2000</c:v>
                </c:pt>
              </c:numCache>
            </c:numRef>
          </c:xVal>
          <c:yVal>
            <c:numRef>
              <c:f>Sheet1!$D$2:$D$7</c:f>
              <c:numCache>
                <c:formatCode>General</c:formatCode>
                <c:ptCount val="6"/>
                <c:pt idx="0">
                  <c:v>1.0000000000000005E-2</c:v>
                </c:pt>
                <c:pt idx="1">
                  <c:v>2.0000000000000011E-2</c:v>
                </c:pt>
                <c:pt idx="2">
                  <c:v>2.0000000000000011E-2</c:v>
                </c:pt>
                <c:pt idx="3">
                  <c:v>2.0000000000000011E-2</c:v>
                </c:pt>
                <c:pt idx="4">
                  <c:v>3.0000000000000002E-2</c:v>
                </c:pt>
              </c:numCache>
            </c:numRef>
          </c:yVal>
          <c:smooth val="1"/>
        </c:ser>
        <c:ser>
          <c:idx val="3"/>
          <c:order val="3"/>
          <c:tx>
            <c:strRef>
              <c:f>Sheet1!$E$1</c:f>
              <c:strCache>
                <c:ptCount val="1"/>
                <c:pt idx="0">
                  <c:v>Diesel at 200 bar</c:v>
                </c:pt>
              </c:strCache>
            </c:strRef>
          </c:tx>
          <c:xVal>
            <c:numRef>
              <c:f>Sheet1!$A$2:$A$7</c:f>
              <c:numCache>
                <c:formatCode>General</c:formatCode>
                <c:ptCount val="6"/>
                <c:pt idx="0">
                  <c:v>0</c:v>
                </c:pt>
                <c:pt idx="1">
                  <c:v>500</c:v>
                </c:pt>
                <c:pt idx="2">
                  <c:v>1000</c:v>
                </c:pt>
                <c:pt idx="3">
                  <c:v>1500</c:v>
                </c:pt>
                <c:pt idx="4">
                  <c:v>2000</c:v>
                </c:pt>
              </c:numCache>
            </c:numRef>
          </c:xVal>
          <c:yVal>
            <c:numRef>
              <c:f>Sheet1!$E$2:$E$7</c:f>
              <c:numCache>
                <c:formatCode>General</c:formatCode>
                <c:ptCount val="6"/>
                <c:pt idx="0">
                  <c:v>2.0000000000000011E-2</c:v>
                </c:pt>
                <c:pt idx="1">
                  <c:v>2.0000000000000011E-2</c:v>
                </c:pt>
                <c:pt idx="2">
                  <c:v>2.0000000000000011E-2</c:v>
                </c:pt>
                <c:pt idx="3">
                  <c:v>1.0000000000000005E-2</c:v>
                </c:pt>
                <c:pt idx="4">
                  <c:v>1.0000000000000005E-2</c:v>
                </c:pt>
              </c:numCache>
            </c:numRef>
          </c:yVal>
          <c:smooth val="1"/>
        </c:ser>
        <c:ser>
          <c:idx val="4"/>
          <c:order val="4"/>
          <c:tx>
            <c:strRef>
              <c:f>Sheet1!$F$1</c:f>
              <c:strCache>
                <c:ptCount val="1"/>
                <c:pt idx="0">
                  <c:v>B50 at 200 bar</c:v>
                </c:pt>
              </c:strCache>
            </c:strRef>
          </c:tx>
          <c:xVal>
            <c:numRef>
              <c:f>Sheet1!$A$2:$A$7</c:f>
              <c:numCache>
                <c:formatCode>General</c:formatCode>
                <c:ptCount val="6"/>
                <c:pt idx="0">
                  <c:v>0</c:v>
                </c:pt>
                <c:pt idx="1">
                  <c:v>500</c:v>
                </c:pt>
                <c:pt idx="2">
                  <c:v>1000</c:v>
                </c:pt>
                <c:pt idx="3">
                  <c:v>1500</c:v>
                </c:pt>
                <c:pt idx="4">
                  <c:v>2000</c:v>
                </c:pt>
              </c:numCache>
            </c:numRef>
          </c:xVal>
          <c:yVal>
            <c:numRef>
              <c:f>Sheet1!$F$2:$F$7</c:f>
              <c:numCache>
                <c:formatCode>General</c:formatCode>
                <c:ptCount val="6"/>
                <c:pt idx="0">
                  <c:v>1.0000000000000005E-2</c:v>
                </c:pt>
                <c:pt idx="1">
                  <c:v>2.0000000000000011E-2</c:v>
                </c:pt>
                <c:pt idx="2">
                  <c:v>2.0000000000000011E-2</c:v>
                </c:pt>
                <c:pt idx="3">
                  <c:v>1.0000000000000005E-2</c:v>
                </c:pt>
                <c:pt idx="4">
                  <c:v>3.0000000000000002E-2</c:v>
                </c:pt>
              </c:numCache>
            </c:numRef>
          </c:yVal>
          <c:smooth val="1"/>
        </c:ser>
        <c:ser>
          <c:idx val="5"/>
          <c:order val="5"/>
          <c:tx>
            <c:strRef>
              <c:f>Sheet1!$G$1</c:f>
              <c:strCache>
                <c:ptCount val="1"/>
                <c:pt idx="0">
                  <c:v>Diesel at 220 bar</c:v>
                </c:pt>
              </c:strCache>
            </c:strRef>
          </c:tx>
          <c:xVal>
            <c:numRef>
              <c:f>Sheet1!$A$2:$A$7</c:f>
              <c:numCache>
                <c:formatCode>General</c:formatCode>
                <c:ptCount val="6"/>
                <c:pt idx="0">
                  <c:v>0</c:v>
                </c:pt>
                <c:pt idx="1">
                  <c:v>500</c:v>
                </c:pt>
                <c:pt idx="2">
                  <c:v>1000</c:v>
                </c:pt>
                <c:pt idx="3">
                  <c:v>1500</c:v>
                </c:pt>
                <c:pt idx="4">
                  <c:v>2000</c:v>
                </c:pt>
              </c:numCache>
            </c:numRef>
          </c:xVal>
          <c:yVal>
            <c:numRef>
              <c:f>Sheet1!$G$2:$G$7</c:f>
              <c:numCache>
                <c:formatCode>General</c:formatCode>
                <c:ptCount val="6"/>
                <c:pt idx="0">
                  <c:v>1.0000000000000005E-2</c:v>
                </c:pt>
                <c:pt idx="1">
                  <c:v>2.0000000000000011E-2</c:v>
                </c:pt>
                <c:pt idx="2">
                  <c:v>1.0000000000000005E-2</c:v>
                </c:pt>
                <c:pt idx="3">
                  <c:v>2.0000000000000011E-2</c:v>
                </c:pt>
                <c:pt idx="4">
                  <c:v>2.0000000000000011E-2</c:v>
                </c:pt>
              </c:numCache>
            </c:numRef>
          </c:yVal>
          <c:smooth val="1"/>
        </c:ser>
        <c:ser>
          <c:idx val="6"/>
          <c:order val="6"/>
          <c:tx>
            <c:strRef>
              <c:f>Sheet1!$H$1</c:f>
              <c:strCache>
                <c:ptCount val="1"/>
                <c:pt idx="0">
                  <c:v>B50 at 220 bar</c:v>
                </c:pt>
              </c:strCache>
            </c:strRef>
          </c:tx>
          <c:xVal>
            <c:numRef>
              <c:f>Sheet1!$A$2:$A$7</c:f>
              <c:numCache>
                <c:formatCode>General</c:formatCode>
                <c:ptCount val="6"/>
                <c:pt idx="0">
                  <c:v>0</c:v>
                </c:pt>
                <c:pt idx="1">
                  <c:v>500</c:v>
                </c:pt>
                <c:pt idx="2">
                  <c:v>1000</c:v>
                </c:pt>
                <c:pt idx="3">
                  <c:v>1500</c:v>
                </c:pt>
                <c:pt idx="4">
                  <c:v>2000</c:v>
                </c:pt>
              </c:numCache>
            </c:numRef>
          </c:xVal>
          <c:yVal>
            <c:numRef>
              <c:f>Sheet1!$H$2:$H$7</c:f>
              <c:numCache>
                <c:formatCode>General</c:formatCode>
                <c:ptCount val="6"/>
                <c:pt idx="0">
                  <c:v>3.0000000000000002E-2</c:v>
                </c:pt>
                <c:pt idx="1">
                  <c:v>3.0000000000000002E-2</c:v>
                </c:pt>
                <c:pt idx="2">
                  <c:v>2.0000000000000011E-2</c:v>
                </c:pt>
                <c:pt idx="3">
                  <c:v>3.0000000000000002E-2</c:v>
                </c:pt>
                <c:pt idx="4">
                  <c:v>4.0000000000000022E-2</c:v>
                </c:pt>
              </c:numCache>
            </c:numRef>
          </c:yVal>
          <c:smooth val="1"/>
        </c:ser>
        <c:axId val="91599232"/>
        <c:axId val="91601152"/>
      </c:scatterChart>
      <c:valAx>
        <c:axId val="91599232"/>
        <c:scaling>
          <c:orientation val="minMax"/>
        </c:scaling>
        <c:axPos val="b"/>
        <c:title>
          <c:tx>
            <c:rich>
              <a:bodyPr/>
              <a:lstStyle/>
              <a:p>
                <a:pPr>
                  <a:defRPr lang="en-US"/>
                </a:pPr>
                <a:r>
                  <a:rPr lang="en-US"/>
                  <a:t>LOAD(w)</a:t>
                </a:r>
              </a:p>
            </c:rich>
          </c:tx>
          <c:layout>
            <c:manualLayout>
              <c:xMode val="edge"/>
              <c:yMode val="edge"/>
              <c:x val="0.47636694252293932"/>
              <c:y val="0.89497057772281041"/>
            </c:manualLayout>
          </c:layout>
        </c:title>
        <c:numFmt formatCode="General" sourceLinked="1"/>
        <c:tickLblPos val="nextTo"/>
        <c:txPr>
          <a:bodyPr/>
          <a:lstStyle/>
          <a:p>
            <a:pPr>
              <a:defRPr lang="en-US"/>
            </a:pPr>
            <a:endParaRPr lang="en-US"/>
          </a:p>
        </c:txPr>
        <c:crossAx val="91601152"/>
        <c:crosses val="autoZero"/>
        <c:crossBetween val="midCat"/>
      </c:valAx>
      <c:valAx>
        <c:axId val="91601152"/>
        <c:scaling>
          <c:orientation val="minMax"/>
        </c:scaling>
        <c:axPos val="l"/>
        <c:majorGridlines/>
        <c:title>
          <c:tx>
            <c:rich>
              <a:bodyPr rot="-5400000" vert="horz"/>
              <a:lstStyle/>
              <a:p>
                <a:pPr>
                  <a:defRPr lang="en-US"/>
                </a:pPr>
                <a:r>
                  <a:rPr lang="en-US"/>
                  <a:t>CO(%vol)</a:t>
                </a:r>
              </a:p>
            </c:rich>
          </c:tx>
        </c:title>
        <c:numFmt formatCode="General" sourceLinked="1"/>
        <c:tickLblPos val="nextTo"/>
        <c:txPr>
          <a:bodyPr/>
          <a:lstStyle/>
          <a:p>
            <a:pPr>
              <a:defRPr lang="en-US"/>
            </a:pPr>
            <a:endParaRPr lang="en-US"/>
          </a:p>
        </c:txPr>
        <c:crossAx val="91599232"/>
        <c:crosses val="autoZero"/>
        <c:crossBetween val="midCat"/>
      </c:valAx>
    </c:plotArea>
    <c:legend>
      <c:legendPos val="r"/>
      <c:txPr>
        <a:bodyPr/>
        <a:lstStyle/>
        <a:p>
          <a:pPr>
            <a:defRPr lang="en-US"/>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a:t>Load Vs CO</a:t>
            </a:r>
            <a:r>
              <a:rPr lang="en-US" baseline="-25000"/>
              <a:t>2</a:t>
            </a:r>
          </a:p>
        </c:rich>
      </c:tx>
    </c:title>
    <c:plotArea>
      <c:layout>
        <c:manualLayout>
          <c:layoutTarget val="inner"/>
          <c:xMode val="edge"/>
          <c:yMode val="edge"/>
          <c:x val="0.10707070707070709"/>
          <c:y val="0.10948905109489045"/>
          <c:w val="0.66060606060606064"/>
          <c:h val="0.77372262773722622"/>
        </c:manualLayout>
      </c:layout>
      <c:scatterChart>
        <c:scatterStyle val="smoothMarker"/>
        <c:ser>
          <c:idx val="0"/>
          <c:order val="0"/>
          <c:tx>
            <c:strRef>
              <c:f>Sheet1!$B$1</c:f>
              <c:strCache>
                <c:ptCount val="1"/>
                <c:pt idx="0">
                  <c:v>Diesel at 180 bar</c:v>
                </c:pt>
              </c:strCache>
            </c:strRef>
          </c:tx>
          <c:xVal>
            <c:numRef>
              <c:f>Sheet1!$A$2:$A$7</c:f>
              <c:numCache>
                <c:formatCode>General</c:formatCode>
                <c:ptCount val="6"/>
                <c:pt idx="0">
                  <c:v>0</c:v>
                </c:pt>
                <c:pt idx="1">
                  <c:v>500</c:v>
                </c:pt>
                <c:pt idx="2">
                  <c:v>1000</c:v>
                </c:pt>
                <c:pt idx="3">
                  <c:v>1500</c:v>
                </c:pt>
                <c:pt idx="4">
                  <c:v>2000</c:v>
                </c:pt>
              </c:numCache>
            </c:numRef>
          </c:xVal>
          <c:yVal>
            <c:numRef>
              <c:f>Sheet1!$B$2:$B$7</c:f>
              <c:numCache>
                <c:formatCode>General</c:formatCode>
                <c:ptCount val="6"/>
                <c:pt idx="0">
                  <c:v>0.60000000000000064</c:v>
                </c:pt>
                <c:pt idx="1">
                  <c:v>0.9</c:v>
                </c:pt>
                <c:pt idx="2">
                  <c:v>1.1000000000000001</c:v>
                </c:pt>
                <c:pt idx="3">
                  <c:v>1.4</c:v>
                </c:pt>
                <c:pt idx="4">
                  <c:v>1.6</c:v>
                </c:pt>
              </c:numCache>
            </c:numRef>
          </c:yVal>
          <c:smooth val="1"/>
        </c:ser>
        <c:ser>
          <c:idx val="1"/>
          <c:order val="1"/>
          <c:tx>
            <c:strRef>
              <c:f>Sheet1!$C$1</c:f>
              <c:strCache>
                <c:ptCount val="1"/>
                <c:pt idx="0">
                  <c:v>B50 at 180 bar</c:v>
                </c:pt>
              </c:strCache>
            </c:strRef>
          </c:tx>
          <c:xVal>
            <c:numRef>
              <c:f>Sheet1!$A$2:$A$7</c:f>
              <c:numCache>
                <c:formatCode>General</c:formatCode>
                <c:ptCount val="6"/>
                <c:pt idx="0">
                  <c:v>0</c:v>
                </c:pt>
                <c:pt idx="1">
                  <c:v>500</c:v>
                </c:pt>
                <c:pt idx="2">
                  <c:v>1000</c:v>
                </c:pt>
                <c:pt idx="3">
                  <c:v>1500</c:v>
                </c:pt>
                <c:pt idx="4">
                  <c:v>2000</c:v>
                </c:pt>
              </c:numCache>
            </c:numRef>
          </c:xVal>
          <c:yVal>
            <c:numRef>
              <c:f>Sheet1!$C$2:$C$7</c:f>
              <c:numCache>
                <c:formatCode>General</c:formatCode>
                <c:ptCount val="6"/>
                <c:pt idx="0">
                  <c:v>0.60000000000000064</c:v>
                </c:pt>
                <c:pt idx="1">
                  <c:v>0.70000000000000062</c:v>
                </c:pt>
                <c:pt idx="2">
                  <c:v>0.8</c:v>
                </c:pt>
                <c:pt idx="3">
                  <c:v>1.4</c:v>
                </c:pt>
                <c:pt idx="4">
                  <c:v>1.6</c:v>
                </c:pt>
              </c:numCache>
            </c:numRef>
          </c:yVal>
          <c:smooth val="1"/>
        </c:ser>
        <c:ser>
          <c:idx val="2"/>
          <c:order val="2"/>
          <c:tx>
            <c:strRef>
              <c:f>Sheet1!$D$1</c:f>
              <c:strCache>
                <c:ptCount val="1"/>
                <c:pt idx="0">
                  <c:v>Diesel at 200 bar</c:v>
                </c:pt>
              </c:strCache>
            </c:strRef>
          </c:tx>
          <c:xVal>
            <c:numRef>
              <c:f>Sheet1!$A$2:$A$7</c:f>
              <c:numCache>
                <c:formatCode>General</c:formatCode>
                <c:ptCount val="6"/>
                <c:pt idx="0">
                  <c:v>0</c:v>
                </c:pt>
                <c:pt idx="1">
                  <c:v>500</c:v>
                </c:pt>
                <c:pt idx="2">
                  <c:v>1000</c:v>
                </c:pt>
                <c:pt idx="3">
                  <c:v>1500</c:v>
                </c:pt>
                <c:pt idx="4">
                  <c:v>2000</c:v>
                </c:pt>
              </c:numCache>
            </c:numRef>
          </c:xVal>
          <c:yVal>
            <c:numRef>
              <c:f>Sheet1!$D$2:$D$7</c:f>
              <c:numCache>
                <c:formatCode>General</c:formatCode>
                <c:ptCount val="6"/>
                <c:pt idx="0">
                  <c:v>0.9</c:v>
                </c:pt>
                <c:pt idx="1">
                  <c:v>1.1000000000000001</c:v>
                </c:pt>
                <c:pt idx="2">
                  <c:v>1.2</c:v>
                </c:pt>
                <c:pt idx="3">
                  <c:v>1.3</c:v>
                </c:pt>
                <c:pt idx="4">
                  <c:v>1.5</c:v>
                </c:pt>
              </c:numCache>
            </c:numRef>
          </c:yVal>
          <c:smooth val="1"/>
        </c:ser>
        <c:ser>
          <c:idx val="3"/>
          <c:order val="3"/>
          <c:tx>
            <c:strRef>
              <c:f>Sheet1!$E$1</c:f>
              <c:strCache>
                <c:ptCount val="1"/>
                <c:pt idx="0">
                  <c:v>B50 at 200 bar</c:v>
                </c:pt>
              </c:strCache>
            </c:strRef>
          </c:tx>
          <c:xVal>
            <c:numRef>
              <c:f>Sheet1!$A$2:$A$7</c:f>
              <c:numCache>
                <c:formatCode>General</c:formatCode>
                <c:ptCount val="6"/>
                <c:pt idx="0">
                  <c:v>0</c:v>
                </c:pt>
                <c:pt idx="1">
                  <c:v>500</c:v>
                </c:pt>
                <c:pt idx="2">
                  <c:v>1000</c:v>
                </c:pt>
                <c:pt idx="3">
                  <c:v>1500</c:v>
                </c:pt>
                <c:pt idx="4">
                  <c:v>2000</c:v>
                </c:pt>
              </c:numCache>
            </c:numRef>
          </c:xVal>
          <c:yVal>
            <c:numRef>
              <c:f>Sheet1!$E$2:$E$7</c:f>
              <c:numCache>
                <c:formatCode>General</c:formatCode>
                <c:ptCount val="6"/>
                <c:pt idx="0">
                  <c:v>0.8</c:v>
                </c:pt>
                <c:pt idx="1">
                  <c:v>1.2</c:v>
                </c:pt>
                <c:pt idx="2">
                  <c:v>1.3</c:v>
                </c:pt>
                <c:pt idx="3">
                  <c:v>1.5</c:v>
                </c:pt>
                <c:pt idx="4">
                  <c:v>1.8</c:v>
                </c:pt>
              </c:numCache>
            </c:numRef>
          </c:yVal>
          <c:smooth val="1"/>
        </c:ser>
        <c:ser>
          <c:idx val="4"/>
          <c:order val="4"/>
          <c:tx>
            <c:strRef>
              <c:f>Sheet1!$F$1</c:f>
              <c:strCache>
                <c:ptCount val="1"/>
                <c:pt idx="0">
                  <c:v>Diesel at 220 bar</c:v>
                </c:pt>
              </c:strCache>
            </c:strRef>
          </c:tx>
          <c:xVal>
            <c:numRef>
              <c:f>Sheet1!$A$2:$A$7</c:f>
              <c:numCache>
                <c:formatCode>General</c:formatCode>
                <c:ptCount val="6"/>
                <c:pt idx="0">
                  <c:v>0</c:v>
                </c:pt>
                <c:pt idx="1">
                  <c:v>500</c:v>
                </c:pt>
                <c:pt idx="2">
                  <c:v>1000</c:v>
                </c:pt>
                <c:pt idx="3">
                  <c:v>1500</c:v>
                </c:pt>
                <c:pt idx="4">
                  <c:v>2000</c:v>
                </c:pt>
              </c:numCache>
            </c:numRef>
          </c:xVal>
          <c:yVal>
            <c:numRef>
              <c:f>Sheet1!$F$2:$F$7</c:f>
              <c:numCache>
                <c:formatCode>General</c:formatCode>
                <c:ptCount val="6"/>
                <c:pt idx="0">
                  <c:v>0.9</c:v>
                </c:pt>
                <c:pt idx="1">
                  <c:v>1.2</c:v>
                </c:pt>
                <c:pt idx="2">
                  <c:v>1.2</c:v>
                </c:pt>
                <c:pt idx="3">
                  <c:v>1.3</c:v>
                </c:pt>
                <c:pt idx="4">
                  <c:v>1.4</c:v>
                </c:pt>
              </c:numCache>
            </c:numRef>
          </c:yVal>
          <c:smooth val="1"/>
        </c:ser>
        <c:ser>
          <c:idx val="5"/>
          <c:order val="5"/>
          <c:tx>
            <c:strRef>
              <c:f>Sheet1!$G$1</c:f>
              <c:strCache>
                <c:ptCount val="1"/>
                <c:pt idx="0">
                  <c:v>B50 at 220 bar</c:v>
                </c:pt>
              </c:strCache>
            </c:strRef>
          </c:tx>
          <c:xVal>
            <c:numRef>
              <c:f>Sheet1!$A$2:$A$7</c:f>
              <c:numCache>
                <c:formatCode>General</c:formatCode>
                <c:ptCount val="6"/>
                <c:pt idx="0">
                  <c:v>0</c:v>
                </c:pt>
                <c:pt idx="1">
                  <c:v>500</c:v>
                </c:pt>
                <c:pt idx="2">
                  <c:v>1000</c:v>
                </c:pt>
                <c:pt idx="3">
                  <c:v>1500</c:v>
                </c:pt>
                <c:pt idx="4">
                  <c:v>2000</c:v>
                </c:pt>
              </c:numCache>
            </c:numRef>
          </c:xVal>
          <c:yVal>
            <c:numRef>
              <c:f>Sheet1!$G$2:$G$7</c:f>
              <c:numCache>
                <c:formatCode>General</c:formatCode>
                <c:ptCount val="6"/>
                <c:pt idx="0">
                  <c:v>0.8</c:v>
                </c:pt>
                <c:pt idx="1">
                  <c:v>1.2</c:v>
                </c:pt>
                <c:pt idx="2">
                  <c:v>1.3</c:v>
                </c:pt>
                <c:pt idx="3">
                  <c:v>1.4</c:v>
                </c:pt>
                <c:pt idx="4">
                  <c:v>1.5</c:v>
                </c:pt>
              </c:numCache>
            </c:numRef>
          </c:yVal>
          <c:smooth val="1"/>
        </c:ser>
        <c:axId val="91756800"/>
        <c:axId val="91763072"/>
      </c:scatterChart>
      <c:valAx>
        <c:axId val="91756800"/>
        <c:scaling>
          <c:orientation val="minMax"/>
        </c:scaling>
        <c:axPos val="b"/>
        <c:title>
          <c:tx>
            <c:rich>
              <a:bodyPr/>
              <a:lstStyle/>
              <a:p>
                <a:pPr>
                  <a:defRPr lang="en-US" sz="1000" b="1" i="0" u="none" strike="noStrike" baseline="0">
                    <a:solidFill>
                      <a:srgbClr val="000000"/>
                    </a:solidFill>
                    <a:latin typeface="Times New Roman"/>
                    <a:ea typeface="Times New Roman"/>
                    <a:cs typeface="Times New Roman"/>
                  </a:defRPr>
                </a:pPr>
                <a:r>
                  <a:rPr lang="en-US"/>
                  <a:t>load, W</a:t>
                </a:r>
              </a:p>
            </c:rich>
          </c:tx>
        </c:title>
        <c:numFmt formatCode="General" sourceLinked="1"/>
        <c:majorTickMark val="none"/>
        <c:tickLblPos val="nextTo"/>
        <c:txPr>
          <a:bodyPr rot="0" vert="horz"/>
          <a:lstStyle/>
          <a:p>
            <a:pPr>
              <a:defRPr lang="en-US" sz="1000" b="0" i="0" u="none" strike="noStrike" baseline="0">
                <a:solidFill>
                  <a:srgbClr val="000000"/>
                </a:solidFill>
                <a:latin typeface="Calibri"/>
                <a:ea typeface="Calibri"/>
                <a:cs typeface="Calibri"/>
              </a:defRPr>
            </a:pPr>
            <a:endParaRPr lang="en-US"/>
          </a:p>
        </c:txPr>
        <c:crossAx val="91763072"/>
        <c:crosses val="autoZero"/>
        <c:crossBetween val="midCat"/>
      </c:valAx>
      <c:valAx>
        <c:axId val="91763072"/>
        <c:scaling>
          <c:orientation val="minMax"/>
        </c:scaling>
        <c:axPos val="l"/>
        <c:majorGridlines/>
        <c:title>
          <c:tx>
            <c:rich>
              <a:bodyPr/>
              <a:lstStyle/>
              <a:p>
                <a:pPr>
                  <a:defRPr lang="en-US" sz="1000" b="0" i="0" u="none" strike="noStrike" baseline="0">
                    <a:solidFill>
                      <a:srgbClr val="000000"/>
                    </a:solidFill>
                    <a:latin typeface="Calibri"/>
                    <a:ea typeface="Calibri"/>
                    <a:cs typeface="Calibri"/>
                  </a:defRPr>
                </a:pPr>
                <a:r>
                  <a:rPr lang="en-US" sz="1000" b="1" i="0" strike="noStrike">
                    <a:solidFill>
                      <a:srgbClr val="000000"/>
                    </a:solidFill>
                    <a:latin typeface="Calibri"/>
                  </a:rPr>
                  <a:t>CO</a:t>
                </a:r>
                <a:r>
                  <a:rPr lang="en-US" sz="1000" b="1" i="0" strike="noStrike" baseline="-25000">
                    <a:solidFill>
                      <a:srgbClr val="000000"/>
                    </a:solidFill>
                    <a:latin typeface="Calibri"/>
                  </a:rPr>
                  <a:t>2, </a:t>
                </a:r>
                <a:r>
                  <a:rPr lang="en-US" sz="1000" b="0" i="0" strike="noStrike">
                    <a:solidFill>
                      <a:srgbClr val="000000"/>
                    </a:solidFill>
                    <a:latin typeface="Calibri"/>
                  </a:rPr>
                  <a:t>%vol</a:t>
                </a:r>
              </a:p>
            </c:rich>
          </c:tx>
        </c:title>
        <c:numFmt formatCode="General" sourceLinked="1"/>
        <c:majorTickMark val="none"/>
        <c:tickLblPos val="nextTo"/>
        <c:txPr>
          <a:bodyPr/>
          <a:lstStyle/>
          <a:p>
            <a:pPr>
              <a:defRPr lang="en-US"/>
            </a:pPr>
            <a:endParaRPr lang="en-US"/>
          </a:p>
        </c:txPr>
        <c:crossAx val="91756800"/>
        <c:crosses val="autoZero"/>
        <c:crossBetween val="midCat"/>
      </c:valAx>
    </c:plotArea>
    <c:legend>
      <c:legendPos val="r"/>
      <c:layout>
        <c:manualLayout>
          <c:xMode val="edge"/>
          <c:yMode val="edge"/>
          <c:x val="0.73654334568473068"/>
          <c:y val="0.38821453118008992"/>
          <c:w val="0.24865215377489591"/>
          <c:h val="0.26321243236511094"/>
        </c:manualLayout>
      </c:layout>
      <c:txPr>
        <a:bodyPr/>
        <a:lstStyle/>
        <a:p>
          <a:pPr>
            <a:defRPr lang="en-US"/>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9499-A0BB-46E3-B04F-B5694279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chaitu777</dc:creator>
  <cp:lastModifiedBy>DELL</cp:lastModifiedBy>
  <cp:revision>5</cp:revision>
  <dcterms:created xsi:type="dcterms:W3CDTF">2014-12-12T10:28:00Z</dcterms:created>
  <dcterms:modified xsi:type="dcterms:W3CDTF">2014-12-31T09:13:00Z</dcterms:modified>
</cp:coreProperties>
</file>